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path/>
            <v:fill on="f" focussize="0,0"/>
            <v:stroke on="f" joinstyle="miter"/>
            <v:imagedata o:title=""/>
            <o:lock v:ext="edit"/>
            <v:textbox inset="0mm,0mm,0mm,0mm" style="mso-fit-shape-to-text:t;">
              <w:txbxContent>
                <w:p/>
              </w:txbxContent>
            </v:textbox>
          </v:shape>
        </w:pic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铜陵铜冠建安第二事业部</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rPr>
        <w:t>海亮项目泡沫混凝土</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TGJA-WZ-202410</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bookmarkStart w:id="0" w:name="_GoBack"/>
      <w:bookmarkEnd w:id="0"/>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一、招标日程安排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本次招标的具体内容如下：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本次招标数量是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2、投标人须为一般纳税人,开具13%增值税专用发票。</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2024年1月24日12:00止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bCs/>
          <w:color w:val="000000"/>
          <w:sz w:val="24"/>
          <w:highlight w:val="none"/>
          <w:u w:val="single"/>
        </w:rPr>
        <w:t>贰仟元整</w:t>
      </w:r>
      <w:r>
        <w:rPr>
          <w:rFonts w:hint="eastAsia" w:ascii="仿宋" w:hAnsi="仿宋" w:eastAsia="仿宋" w:cs="仿宋_GB2312"/>
          <w:color w:val="000000"/>
          <w:sz w:val="24"/>
          <w:highlight w:val="none"/>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铜陵铜冠建安第二事业部海亮项目TGJA-WZ-202410投标保证金。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2024年1月25日9:00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ascii="仿宋" w:hAnsi="仿宋" w:eastAsia="仿宋" w:cs="仿宋"/>
          <w:sz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材料质量要求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
          <w:sz w:val="24"/>
          <w:highlight w:val="none"/>
        </w:rPr>
        <w:t>应符合国家最新质量标准和招标文件要求。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（2）投标人如若中标，提供的材料必须符合技术指标要求。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材料送至铜冠建安公司铜陵市区施工现场。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（1）本次招标价为含税含运费一票制价格。</w:t>
      </w:r>
    </w:p>
    <w:p>
      <w:pPr>
        <w:spacing w:line="360" w:lineRule="auto"/>
        <w:ind w:left="560"/>
        <w:rPr>
          <w:rFonts w:ascii="仿宋" w:hAnsi="仿宋" w:eastAsia="仿宋" w:cs="仿宋_GB2312"/>
          <w:sz w:val="24"/>
          <w:highlight w:val="none"/>
        </w:rPr>
      </w:pPr>
      <w:r>
        <w:rPr>
          <w:rFonts w:hint="eastAsia" w:ascii="仿宋" w:hAnsi="仿宋" w:eastAsia="仿宋" w:cs="仿宋_GB2312"/>
          <w:sz w:val="24"/>
          <w:highlight w:val="none"/>
        </w:rPr>
        <w:t>（2）一经中标，合同期内价格不予调整。</w:t>
      </w:r>
    </w:p>
    <w:p>
      <w:pPr>
        <w:spacing w:line="360" w:lineRule="auto"/>
        <w:ind w:left="560"/>
        <w:rPr>
          <w:rFonts w:ascii="仿宋" w:hAnsi="仿宋" w:eastAsia="仿宋" w:cs="仿宋_GB2312"/>
          <w:sz w:val="24"/>
          <w:highlight w:val="none"/>
        </w:rPr>
      </w:pPr>
      <w:r>
        <w:rPr>
          <w:rFonts w:hint="eastAsia" w:ascii="仿宋" w:hAnsi="仿宋" w:eastAsia="仿宋" w:cs="仿宋_GB2312"/>
          <w:sz w:val="24"/>
          <w:highlight w:val="none"/>
        </w:rPr>
        <w:t>（3）本次竞价总价设最高限价（含13%税价），最高限价180000元，超过最高限价的报价（含本数）将做为废标处理。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ascii="仿宋" w:hAnsi="仿宋" w:eastAsia="仿宋" w:cs="仿宋_GB2312"/>
          <w:spacing w:val="-17"/>
          <w:sz w:val="24"/>
          <w:highlight w:val="none"/>
        </w:rPr>
      </w:pPr>
      <w:r>
        <w:rPr>
          <w:rFonts w:hint="eastAsia" w:ascii="仿宋" w:hAnsi="仿宋" w:eastAsia="仿宋" w:cs="仿宋_GB2312"/>
          <w:sz w:val="24"/>
          <w:highlight w:val="none"/>
          <w:u w:val="single"/>
        </w:rPr>
        <w:t>各投标单位报价须谨慎，一旦中标不得以任何理由变更报价</w:t>
      </w:r>
      <w:r>
        <w:rPr>
          <w:rFonts w:hint="eastAsia" w:ascii="仿宋" w:hAnsi="仿宋" w:eastAsia="仿宋" w:cs="仿宋_GB2312"/>
          <w:spacing w:val="-17"/>
          <w:sz w:val="24"/>
          <w:highlight w:val="none"/>
          <w:u w:val="singl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8、付款方式</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color w:val="000000" w:themeColor="text1"/>
          <w:sz w:val="24"/>
          <w:highlight w:val="none"/>
          <w:u w:val="single"/>
        </w:rPr>
        <w:t>合同签订后，</w:t>
      </w:r>
      <w:r>
        <w:rPr>
          <w:rFonts w:hint="eastAsia" w:ascii="仿宋" w:hAnsi="仿宋" w:eastAsia="仿宋" w:cs="仿宋"/>
          <w:color w:val="000000" w:themeColor="text1"/>
          <w:sz w:val="24"/>
          <w:highlight w:val="none"/>
          <w:u w:val="single"/>
        </w:rPr>
        <w:t>货到验收合格后开具发票，入账次月支付40%，春节前支付至80%，剩余20%该春节后两年内付清。</w:t>
      </w:r>
      <w:r>
        <w:rPr>
          <w:rFonts w:hint="eastAsia" w:ascii="仿宋" w:hAnsi="仿宋" w:eastAsia="仿宋" w:cs="仿宋"/>
          <w:color w:val="171A1D"/>
          <w:sz w:val="24"/>
          <w:highlight w:val="none"/>
          <w:u w:val="single"/>
          <w:shd w:val="clear" w:color="auto" w:fill="FFFFFF"/>
        </w:rPr>
        <w:t>货款以对公转账方式支付至供方对公账户，支付电汇或不超过发票总金额50%的6个月内电子承兑。</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本次评标以价格为评标依据，采取“最低价中标法”评标。即以经评委会审核，剔除偏离市场行情较大的恶意报价后的报价进行排序。</w:t>
      </w:r>
      <w:r>
        <w:rPr>
          <w:rFonts w:hint="eastAsia" w:ascii="仿宋" w:hAnsi="仿宋" w:eastAsia="仿宋" w:cs="仿宋_GB2312"/>
          <w:sz w:val="24"/>
          <w:highlight w:val="none"/>
        </w:rPr>
        <w:t>本次招标设置控制价，具体见第八章第4条。</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报价单（TGJA-WZ-202410）：</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87"/>
        <w:gridCol w:w="1594"/>
        <w:gridCol w:w="849"/>
        <w:gridCol w:w="982"/>
        <w:gridCol w:w="1488"/>
        <w:gridCol w:w="2333"/>
        <w:gridCol w:w="1417"/>
        <w:gridCol w:w="1055"/>
        <w:gridCol w:w="1301"/>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序号</w:t>
            </w:r>
          </w:p>
        </w:tc>
        <w:tc>
          <w:tcPr>
            <w:tcW w:w="1587"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物料名称</w:t>
            </w:r>
          </w:p>
        </w:tc>
        <w:tc>
          <w:tcPr>
            <w:tcW w:w="1594"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型号规格</w:t>
            </w:r>
          </w:p>
        </w:tc>
        <w:tc>
          <w:tcPr>
            <w:tcW w:w="849"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单位</w:t>
            </w:r>
          </w:p>
        </w:tc>
        <w:tc>
          <w:tcPr>
            <w:tcW w:w="982"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数量</w:t>
            </w:r>
          </w:p>
        </w:tc>
        <w:tc>
          <w:tcPr>
            <w:tcW w:w="1488"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含税含运费单价</w:t>
            </w:r>
            <w:r>
              <w:rPr>
                <w:rFonts w:hint="eastAsia" w:ascii="仿宋" w:hAnsi="仿宋" w:eastAsia="仿宋"/>
                <w:color w:val="FF0000"/>
                <w:sz w:val="24"/>
                <w:highlight w:val="none"/>
              </w:rPr>
              <w:t>*</w:t>
            </w:r>
          </w:p>
        </w:tc>
        <w:tc>
          <w:tcPr>
            <w:tcW w:w="2333" w:type="dxa"/>
            <w:vAlign w:val="center"/>
          </w:tcPr>
          <w:p>
            <w:pPr>
              <w:spacing w:line="400" w:lineRule="exact"/>
              <w:jc w:val="center"/>
              <w:rPr>
                <w:rFonts w:ascii="仿宋" w:hAnsi="仿宋" w:eastAsia="仿宋"/>
                <w:sz w:val="24"/>
                <w:highlight w:val="none"/>
              </w:rPr>
            </w:pPr>
            <w:r>
              <w:rPr>
                <w:rFonts w:ascii="仿宋" w:hAnsi="仿宋" w:eastAsia="仿宋"/>
                <w:sz w:val="24"/>
                <w:highlight w:val="none"/>
              </w:rPr>
              <w:t>含税</w:t>
            </w:r>
            <w:r>
              <w:rPr>
                <w:rFonts w:hint="eastAsia" w:ascii="仿宋" w:hAnsi="仿宋" w:eastAsia="仿宋"/>
                <w:sz w:val="24"/>
                <w:highlight w:val="none"/>
              </w:rPr>
              <w:t>含运费</w:t>
            </w:r>
          </w:p>
          <w:p>
            <w:pPr>
              <w:spacing w:line="400" w:lineRule="exact"/>
              <w:jc w:val="center"/>
              <w:rPr>
                <w:rFonts w:ascii="仿宋" w:hAnsi="仿宋" w:eastAsia="仿宋"/>
                <w:sz w:val="24"/>
                <w:highlight w:val="none"/>
              </w:rPr>
            </w:pPr>
            <w:r>
              <w:rPr>
                <w:rFonts w:ascii="仿宋" w:hAnsi="仿宋" w:eastAsia="仿宋"/>
                <w:sz w:val="24"/>
                <w:highlight w:val="none"/>
              </w:rPr>
              <w:t>金额</w:t>
            </w:r>
            <w:r>
              <w:rPr>
                <w:rFonts w:hint="eastAsia" w:ascii="仿宋" w:hAnsi="仿宋" w:eastAsia="仿宋"/>
                <w:color w:val="FF0000"/>
                <w:sz w:val="24"/>
                <w:highlight w:val="none"/>
              </w:rPr>
              <w:t>*</w:t>
            </w:r>
          </w:p>
        </w:tc>
        <w:tc>
          <w:tcPr>
            <w:tcW w:w="1417"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税率</w:t>
            </w:r>
            <w:r>
              <w:rPr>
                <w:rFonts w:hint="eastAsia" w:ascii="仿宋" w:hAnsi="仿宋" w:eastAsia="仿宋"/>
                <w:color w:val="FF0000"/>
                <w:sz w:val="24"/>
                <w:highlight w:val="none"/>
              </w:rPr>
              <w:t>*</w:t>
            </w:r>
          </w:p>
        </w:tc>
        <w:tc>
          <w:tcPr>
            <w:tcW w:w="2356"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是否为增值税专用发票</w:t>
            </w:r>
            <w:r>
              <w:rPr>
                <w:rFonts w:hint="eastAsia" w:ascii="仿宋" w:hAnsi="仿宋" w:eastAsia="仿宋"/>
                <w:color w:val="FF0000"/>
                <w:sz w:val="24"/>
                <w:highlight w:val="none"/>
              </w:rPr>
              <w:t>*</w:t>
            </w:r>
          </w:p>
        </w:tc>
        <w:tc>
          <w:tcPr>
            <w:tcW w:w="2314"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1</w:t>
            </w:r>
          </w:p>
        </w:tc>
        <w:tc>
          <w:tcPr>
            <w:tcW w:w="1587" w:type="dxa"/>
            <w:vAlign w:val="center"/>
          </w:tcPr>
          <w:p>
            <w:pPr>
              <w:jc w:val="center"/>
              <w:rPr>
                <w:rFonts w:ascii="宋体" w:hAnsi="宋体" w:cs="宋体"/>
                <w:color w:val="000000"/>
                <w:sz w:val="22"/>
                <w:szCs w:val="22"/>
                <w:highlight w:val="none"/>
              </w:rPr>
            </w:pPr>
            <w:r>
              <w:rPr>
                <w:rFonts w:hint="eastAsia"/>
                <w:color w:val="000000"/>
                <w:sz w:val="22"/>
                <w:szCs w:val="22"/>
                <w:highlight w:val="none"/>
              </w:rPr>
              <w:t>泡沫混凝土</w:t>
            </w:r>
          </w:p>
        </w:tc>
        <w:tc>
          <w:tcPr>
            <w:tcW w:w="1594" w:type="dxa"/>
            <w:vAlign w:val="center"/>
          </w:tcPr>
          <w:p>
            <w:pPr>
              <w:jc w:val="center"/>
              <w:rPr>
                <w:rFonts w:ascii="宋体" w:hAnsi="宋体" w:cs="宋体"/>
                <w:color w:val="000000"/>
                <w:sz w:val="22"/>
                <w:szCs w:val="22"/>
                <w:highlight w:val="none"/>
              </w:rPr>
            </w:pPr>
            <w:r>
              <w:rPr>
                <w:rFonts w:hint="eastAsia"/>
                <w:color w:val="000000"/>
                <w:sz w:val="22"/>
                <w:szCs w:val="22"/>
                <w:highlight w:val="none"/>
              </w:rPr>
              <w:t>A1.5</w:t>
            </w:r>
          </w:p>
        </w:tc>
        <w:tc>
          <w:tcPr>
            <w:tcW w:w="849" w:type="dxa"/>
            <w:vAlign w:val="center"/>
          </w:tcPr>
          <w:p>
            <w:pPr>
              <w:jc w:val="center"/>
              <w:rPr>
                <w:rFonts w:ascii="宋体" w:hAnsi="宋体" w:cs="宋体"/>
                <w:color w:val="000000"/>
                <w:sz w:val="22"/>
                <w:szCs w:val="22"/>
                <w:highlight w:val="none"/>
              </w:rPr>
            </w:pPr>
            <w:r>
              <w:rPr>
                <w:rFonts w:hint="eastAsia"/>
                <w:color w:val="000000"/>
                <w:sz w:val="22"/>
                <w:szCs w:val="22"/>
                <w:highlight w:val="none"/>
              </w:rPr>
              <w:t>m</w:t>
            </w:r>
            <w:r>
              <w:rPr>
                <w:rFonts w:hint="eastAsia"/>
                <w:color w:val="000000"/>
                <w:sz w:val="22"/>
                <w:szCs w:val="22"/>
                <w:highlight w:val="none"/>
                <w:vertAlign w:val="superscript"/>
              </w:rPr>
              <w:t>3</w:t>
            </w:r>
          </w:p>
        </w:tc>
        <w:tc>
          <w:tcPr>
            <w:tcW w:w="982" w:type="dxa"/>
            <w:vAlign w:val="center"/>
          </w:tcPr>
          <w:p>
            <w:pPr>
              <w:jc w:val="center"/>
              <w:rPr>
                <w:rFonts w:ascii="宋体" w:hAnsi="宋体" w:cs="宋体"/>
                <w:color w:val="000000"/>
                <w:sz w:val="22"/>
                <w:szCs w:val="22"/>
                <w:highlight w:val="none"/>
              </w:rPr>
            </w:pPr>
            <w:r>
              <w:rPr>
                <w:rFonts w:hint="eastAsia"/>
                <w:color w:val="000000"/>
                <w:sz w:val="22"/>
                <w:szCs w:val="22"/>
                <w:highlight w:val="none"/>
              </w:rPr>
              <w:t>600</w:t>
            </w:r>
          </w:p>
        </w:tc>
        <w:tc>
          <w:tcPr>
            <w:tcW w:w="1488" w:type="dxa"/>
            <w:vAlign w:val="center"/>
          </w:tcPr>
          <w:p>
            <w:pPr>
              <w:spacing w:line="400" w:lineRule="exact"/>
              <w:jc w:val="center"/>
              <w:rPr>
                <w:rFonts w:ascii="仿宋" w:hAnsi="仿宋" w:eastAsia="仿宋"/>
                <w:sz w:val="24"/>
                <w:highlight w:val="none"/>
              </w:rPr>
            </w:pP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ascii="仿宋" w:hAnsi="仿宋" w:eastAsia="仿宋"/>
                <w:sz w:val="24"/>
                <w:highlight w:val="none"/>
              </w:rPr>
            </w:pPr>
          </w:p>
        </w:tc>
        <w:tc>
          <w:tcPr>
            <w:tcW w:w="6500" w:type="dxa"/>
            <w:gridSpan w:val="5"/>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合计：</w:t>
            </w:r>
          </w:p>
        </w:tc>
        <w:tc>
          <w:tcPr>
            <w:tcW w:w="2333" w:type="dxa"/>
            <w:vAlign w:val="center"/>
          </w:tcPr>
          <w:p>
            <w:pPr>
              <w:spacing w:line="400" w:lineRule="exact"/>
              <w:jc w:val="center"/>
              <w:rPr>
                <w:rFonts w:ascii="仿宋" w:hAnsi="仿宋" w:eastAsia="仿宋"/>
                <w:sz w:val="24"/>
                <w:highlight w:val="none"/>
              </w:rPr>
            </w:pPr>
          </w:p>
        </w:tc>
        <w:tc>
          <w:tcPr>
            <w:tcW w:w="1417" w:type="dxa"/>
            <w:vAlign w:val="center"/>
          </w:tcPr>
          <w:p>
            <w:pPr>
              <w:spacing w:line="400" w:lineRule="exact"/>
              <w:jc w:val="center"/>
              <w:rPr>
                <w:rFonts w:ascii="仿宋" w:hAnsi="仿宋" w:eastAsia="仿宋"/>
                <w:sz w:val="24"/>
                <w:highlight w:val="none"/>
              </w:rPr>
            </w:pPr>
          </w:p>
        </w:tc>
        <w:tc>
          <w:tcPr>
            <w:tcW w:w="2356" w:type="dxa"/>
            <w:gridSpan w:val="2"/>
            <w:vAlign w:val="center"/>
          </w:tcPr>
          <w:p>
            <w:pPr>
              <w:spacing w:line="400" w:lineRule="exact"/>
              <w:jc w:val="center"/>
              <w:rPr>
                <w:rFonts w:ascii="仿宋" w:hAnsi="仿宋" w:eastAsia="仿宋"/>
                <w:sz w:val="24"/>
                <w:highlight w:val="none"/>
              </w:rPr>
            </w:pPr>
          </w:p>
        </w:tc>
        <w:tc>
          <w:tcPr>
            <w:tcW w:w="2314" w:type="dxa"/>
            <w:vAlign w:val="center"/>
          </w:tcPr>
          <w:p>
            <w:pPr>
              <w:widowControl/>
              <w:jc w:val="center"/>
              <w:textAlignment w:val="center"/>
              <w:rPr>
                <w:rFonts w:ascii="宋体" w:hAnsi="宋体" w:cs="宋体"/>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5443" w:type="dxa"/>
            <w:gridSpan w:val="11"/>
            <w:vAlign w:val="center"/>
          </w:tcPr>
          <w:p>
            <w:pPr>
              <w:spacing w:line="400" w:lineRule="exact"/>
              <w:rPr>
                <w:rFonts w:ascii="仿宋" w:hAnsi="仿宋" w:eastAsia="仿宋"/>
                <w:sz w:val="24"/>
                <w:highlight w:val="none"/>
              </w:rPr>
            </w:pPr>
            <w:r>
              <w:rPr>
                <w:rFonts w:hint="eastAsia" w:ascii="仿宋" w:hAnsi="仿宋" w:eastAsia="仿宋"/>
                <w:sz w:val="24"/>
                <w:highlight w:val="none"/>
              </w:rPr>
              <w:t xml:space="preserve">说明：1、此报价表中带 </w:t>
            </w:r>
            <w:r>
              <w:rPr>
                <w:rFonts w:hint="eastAsia" w:ascii="仿宋" w:hAnsi="仿宋" w:eastAsia="仿宋"/>
                <w:color w:val="FF0000"/>
                <w:sz w:val="24"/>
                <w:highlight w:val="none"/>
              </w:rPr>
              <w:t>＊</w:t>
            </w:r>
            <w:r>
              <w:rPr>
                <w:rFonts w:hint="eastAsia" w:ascii="仿宋" w:hAnsi="仿宋" w:eastAsia="仿宋"/>
                <w:sz w:val="24"/>
                <w:highlight w:val="none"/>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highlight w:val="none"/>
              </w:rPr>
            </w:pPr>
            <w:r>
              <w:rPr>
                <w:rFonts w:hint="eastAsia" w:ascii="仿宋" w:hAnsi="仿宋" w:eastAsia="仿宋"/>
                <w:sz w:val="24"/>
                <w:highlight w:val="none"/>
              </w:rPr>
              <w:t>2、本次招标的数量为预估量，最终结算数量以双方确认的实际供货数量为准。</w:t>
            </w:r>
          </w:p>
          <w:p>
            <w:pPr>
              <w:spacing w:line="400" w:lineRule="exact"/>
              <w:ind w:firstLine="720" w:firstLineChars="300"/>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5"/>
            <w:vMerge w:val="restart"/>
            <w:vAlign w:val="center"/>
          </w:tcPr>
          <w:p>
            <w:pPr>
              <w:spacing w:line="400" w:lineRule="exact"/>
              <w:ind w:firstLine="240" w:firstLineChars="100"/>
              <w:rPr>
                <w:rFonts w:ascii="仿宋" w:hAnsi="仿宋" w:eastAsia="仿宋"/>
                <w:sz w:val="24"/>
                <w:highlight w:val="none"/>
              </w:rPr>
            </w:pPr>
            <w:r>
              <w:rPr>
                <w:rFonts w:hint="eastAsia" w:ascii="仿宋" w:hAnsi="仿宋" w:eastAsia="仿宋"/>
                <w:sz w:val="24"/>
                <w:highlight w:val="none"/>
              </w:rPr>
              <w:t>投标单位（公章）</w:t>
            </w:r>
          </w:p>
        </w:tc>
        <w:tc>
          <w:tcPr>
            <w:tcW w:w="3821" w:type="dxa"/>
            <w:gridSpan w:val="2"/>
            <w:vAlign w:val="center"/>
          </w:tcPr>
          <w:p>
            <w:pPr>
              <w:spacing w:line="400" w:lineRule="exact"/>
              <w:rPr>
                <w:rFonts w:ascii="仿宋" w:hAnsi="仿宋" w:eastAsia="仿宋"/>
                <w:sz w:val="24"/>
                <w:highlight w:val="none"/>
              </w:rPr>
            </w:pPr>
            <w:r>
              <w:rPr>
                <w:rFonts w:hint="eastAsia" w:ascii="仿宋" w:hAnsi="仿宋" w:eastAsia="仿宋"/>
                <w:sz w:val="24"/>
                <w:highlight w:val="none"/>
              </w:rPr>
              <w:t>法定代表人或授权委托人</w:t>
            </w:r>
          </w:p>
        </w:tc>
        <w:tc>
          <w:tcPr>
            <w:tcW w:w="6087" w:type="dxa"/>
            <w:gridSpan w:val="4"/>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5"/>
            <w:vMerge w:val="continue"/>
            <w:vAlign w:val="center"/>
          </w:tcPr>
          <w:p>
            <w:pPr>
              <w:spacing w:line="400" w:lineRule="exact"/>
              <w:rPr>
                <w:rFonts w:ascii="仿宋" w:hAnsi="仿宋" w:eastAsia="仿宋"/>
                <w:sz w:val="24"/>
                <w:highlight w:val="none"/>
              </w:rPr>
            </w:pPr>
          </w:p>
        </w:tc>
        <w:tc>
          <w:tcPr>
            <w:tcW w:w="3821" w:type="dxa"/>
            <w:gridSpan w:val="2"/>
            <w:vMerge w:val="restart"/>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联系方式</w:t>
            </w:r>
          </w:p>
        </w:tc>
        <w:tc>
          <w:tcPr>
            <w:tcW w:w="2472"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电话</w:t>
            </w:r>
          </w:p>
        </w:tc>
        <w:tc>
          <w:tcPr>
            <w:tcW w:w="3615" w:type="dxa"/>
            <w:gridSpan w:val="2"/>
            <w:vAlign w:val="center"/>
          </w:tcPr>
          <w:p>
            <w:pPr>
              <w:spacing w:line="400" w:lineRule="exact"/>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5"/>
            <w:vMerge w:val="continue"/>
            <w:vAlign w:val="center"/>
          </w:tcPr>
          <w:p>
            <w:pPr>
              <w:spacing w:line="400" w:lineRule="exact"/>
              <w:rPr>
                <w:rFonts w:ascii="仿宋" w:hAnsi="仿宋" w:eastAsia="仿宋"/>
                <w:sz w:val="24"/>
                <w:highlight w:val="none"/>
              </w:rPr>
            </w:pPr>
          </w:p>
        </w:tc>
        <w:tc>
          <w:tcPr>
            <w:tcW w:w="3821" w:type="dxa"/>
            <w:gridSpan w:val="2"/>
            <w:vMerge w:val="continue"/>
            <w:vAlign w:val="center"/>
          </w:tcPr>
          <w:p>
            <w:pPr>
              <w:spacing w:line="400" w:lineRule="exact"/>
              <w:jc w:val="center"/>
              <w:rPr>
                <w:rFonts w:ascii="仿宋" w:hAnsi="仿宋" w:eastAsia="仿宋"/>
                <w:sz w:val="24"/>
                <w:highlight w:val="none"/>
              </w:rPr>
            </w:pPr>
          </w:p>
        </w:tc>
        <w:tc>
          <w:tcPr>
            <w:tcW w:w="2472" w:type="dxa"/>
            <w:gridSpan w:val="2"/>
            <w:vAlign w:val="center"/>
          </w:tcPr>
          <w:p>
            <w:pPr>
              <w:spacing w:line="400" w:lineRule="exact"/>
              <w:jc w:val="center"/>
              <w:rPr>
                <w:rFonts w:ascii="仿宋" w:hAnsi="仿宋" w:eastAsia="仿宋"/>
                <w:sz w:val="24"/>
                <w:highlight w:val="none"/>
              </w:rPr>
            </w:pPr>
            <w:r>
              <w:rPr>
                <w:rFonts w:hint="eastAsia" w:ascii="仿宋" w:hAnsi="仿宋" w:eastAsia="仿宋"/>
                <w:sz w:val="24"/>
                <w:highlight w:val="none"/>
              </w:rPr>
              <w:t>邮箱</w:t>
            </w:r>
          </w:p>
        </w:tc>
        <w:tc>
          <w:tcPr>
            <w:tcW w:w="3615" w:type="dxa"/>
            <w:gridSpan w:val="2"/>
            <w:vAlign w:val="center"/>
          </w:tcPr>
          <w:p>
            <w:pPr>
              <w:spacing w:line="400" w:lineRule="exact"/>
              <w:rPr>
                <w:rFonts w:ascii="仿宋" w:hAnsi="仿宋" w:eastAsia="仿宋"/>
                <w:sz w:val="24"/>
                <w:highlight w:val="none"/>
              </w:rPr>
            </w:pPr>
          </w:p>
        </w:tc>
      </w:tr>
    </w:tbl>
    <w:p>
      <w:pPr>
        <w:spacing w:line="400" w:lineRule="exact"/>
        <w:rPr>
          <w:rFonts w:ascii="仿宋" w:hAnsi="仿宋" w:eastAsia="仿宋" w:cs="仿宋_GB2312"/>
          <w:b/>
          <w:sz w:val="36"/>
          <w:szCs w:val="36"/>
          <w:highlight w:val="none"/>
        </w:rPr>
      </w:pPr>
    </w:p>
    <w:p>
      <w:pPr>
        <w:spacing w:line="400" w:lineRule="exact"/>
        <w:rPr>
          <w:rFonts w:ascii="仿宋" w:hAnsi="仿宋" w:eastAsia="仿宋" w:cs="仿宋_GB2312"/>
          <w:b/>
          <w:sz w:val="28"/>
          <w:szCs w:val="28"/>
          <w:highlight w:val="none"/>
        </w:rPr>
      </w:pPr>
    </w:p>
    <w:p>
      <w:pPr>
        <w:spacing w:line="400" w:lineRule="exact"/>
        <w:rPr>
          <w:rFonts w:ascii="仿宋" w:hAnsi="仿宋" w:eastAsia="仿宋" w:cs="仿宋_GB2312"/>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w:pict>
        <v:shape id="文本框 2051" o:spid="_x0000_s2049"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path/>
          <v:fill on="f" focussize="0,0"/>
          <v:stroke on="f" joinstyle="miter"/>
          <v:imagedata o:title=""/>
          <o:lock v:ext="edit"/>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pict>
        <v:shape id="_x0000_i1025"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pict>
        <v:shape id="_x0000_i1026" o:spt="75" alt="tlys" type="#_x0000_t75" style="height:16.5pt;width:18pt;" filled="f" o:preferrelative="t" stroked="f" coordsize="21600,21600">
          <v:path/>
          <v:fill on="f" focussize="0,0"/>
          <v:stroke on="f" joinstyle="miter"/>
          <v:imagedata r:id="rId1" o:title="tlys"/>
          <o:lock v:ext="edit" aspectratio="t"/>
          <w10:wrap type="none"/>
          <w10:anchorlock/>
        </v:shape>
      </w:pict>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AwMDJiZjE4OGNiOWViNmEzMjhlYjUyZDgxYjAxMjQifQ=="/>
  </w:docVars>
  <w:rsids>
    <w:rsidRoot w:val="00172A27"/>
    <w:rsid w:val="0000135C"/>
    <w:rsid w:val="0000241E"/>
    <w:rsid w:val="00002AE1"/>
    <w:rsid w:val="00004FB7"/>
    <w:rsid w:val="00010EC3"/>
    <w:rsid w:val="000135B4"/>
    <w:rsid w:val="00015917"/>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D7DDB"/>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83D37"/>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3FA629B"/>
    <w:rsid w:val="05011011"/>
    <w:rsid w:val="053E62C7"/>
    <w:rsid w:val="05BF33B5"/>
    <w:rsid w:val="061F198A"/>
    <w:rsid w:val="069B2F1B"/>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3945E07"/>
    <w:rsid w:val="15737884"/>
    <w:rsid w:val="15750C31"/>
    <w:rsid w:val="16B948A5"/>
    <w:rsid w:val="17D86D23"/>
    <w:rsid w:val="17F4775E"/>
    <w:rsid w:val="18AF15FD"/>
    <w:rsid w:val="19E94006"/>
    <w:rsid w:val="1BBF797C"/>
    <w:rsid w:val="1DB63303"/>
    <w:rsid w:val="1DE26149"/>
    <w:rsid w:val="1DEE2CCA"/>
    <w:rsid w:val="1EB92EF2"/>
    <w:rsid w:val="1F17125C"/>
    <w:rsid w:val="1FAB30E7"/>
    <w:rsid w:val="2037683E"/>
    <w:rsid w:val="20637B7A"/>
    <w:rsid w:val="21115412"/>
    <w:rsid w:val="21A61884"/>
    <w:rsid w:val="221B22F9"/>
    <w:rsid w:val="221D09FC"/>
    <w:rsid w:val="22F91AE6"/>
    <w:rsid w:val="25590EC9"/>
    <w:rsid w:val="257F4BF0"/>
    <w:rsid w:val="25917440"/>
    <w:rsid w:val="25A13254"/>
    <w:rsid w:val="262F357C"/>
    <w:rsid w:val="2659211B"/>
    <w:rsid w:val="266C56F3"/>
    <w:rsid w:val="26A26CEB"/>
    <w:rsid w:val="27235E7D"/>
    <w:rsid w:val="276F4E38"/>
    <w:rsid w:val="2834446C"/>
    <w:rsid w:val="28B84042"/>
    <w:rsid w:val="299D4A4C"/>
    <w:rsid w:val="2A1902C2"/>
    <w:rsid w:val="2C6224E4"/>
    <w:rsid w:val="2C995D0F"/>
    <w:rsid w:val="2D3E7816"/>
    <w:rsid w:val="2DC36D5F"/>
    <w:rsid w:val="2F3E6548"/>
    <w:rsid w:val="2FF670DA"/>
    <w:rsid w:val="30481183"/>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E583AD2"/>
    <w:rsid w:val="3FD0292A"/>
    <w:rsid w:val="3FF77603"/>
    <w:rsid w:val="413C763F"/>
    <w:rsid w:val="41B14926"/>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A18E0"/>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921071"/>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712</Words>
  <Characters>4061</Characters>
  <Lines>33</Lines>
  <Paragraphs>9</Paragraphs>
  <TotalTime>157</TotalTime>
  <ScaleCrop>false</ScaleCrop>
  <LinksUpToDate>false</LinksUpToDate>
  <CharactersWithSpaces>4764</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2024-01-19T07:09:12Z</dcterms:modified>
  <dc:title>中华人民共和国</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