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hint="eastAsia" w:ascii="仿宋_GB2312" w:hAnsi="仿宋_GB2312" w:eastAsia="宋体" w:cs="仿宋_GB2312"/>
          <w:b/>
          <w:bCs/>
          <w:color w:val="auto"/>
          <w:sz w:val="44"/>
          <w:szCs w:val="44"/>
          <w:u w:val="single"/>
          <w:lang w:eastAsia="zh-CN"/>
        </w:rPr>
      </w:pPr>
      <w:r>
        <w:rPr>
          <w:rFonts w:hint="eastAsia" w:ascii="宋体" w:hAnsi="宋体" w:cs="宋体"/>
          <w:b/>
          <w:bCs/>
          <w:color w:val="auto"/>
          <w:sz w:val="44"/>
          <w:szCs w:val="44"/>
          <w:u w:val="single"/>
          <w:lang w:eastAsia="zh-CN"/>
        </w:rPr>
        <w:t>铜冠建安厄瓜多尔分公司空压机组、磁力钻等机、器具</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color w:val="auto"/>
          <w:sz w:val="32"/>
          <w:szCs w:val="32"/>
          <w:u w:val="single"/>
        </w:rPr>
        <w:t>TGJA－JX－202</w:t>
      </w:r>
      <w:r>
        <w:rPr>
          <w:rFonts w:hint="eastAsia" w:ascii="仿宋" w:hAnsi="仿宋" w:eastAsia="仿宋" w:cs="仿宋_GB2312"/>
          <w:b/>
          <w:bCs/>
          <w:color w:val="auto"/>
          <w:sz w:val="32"/>
          <w:szCs w:val="32"/>
          <w:u w:val="single"/>
          <w:lang w:val="en-US" w:eastAsia="zh-CN"/>
        </w:rPr>
        <w:t>1</w:t>
      </w:r>
      <w:r>
        <w:rPr>
          <w:rFonts w:hint="eastAsia" w:ascii="仿宋" w:hAnsi="仿宋" w:eastAsia="仿宋" w:cs="仿宋_GB2312"/>
          <w:b/>
          <w:bCs/>
          <w:color w:val="auto"/>
          <w:sz w:val="32"/>
          <w:szCs w:val="32"/>
          <w:u w:val="single"/>
        </w:rPr>
        <w:t>-0</w:t>
      </w:r>
      <w:r>
        <w:rPr>
          <w:rFonts w:hint="eastAsia" w:ascii="仿宋" w:hAnsi="仿宋" w:eastAsia="仿宋" w:cs="仿宋_GB2312"/>
          <w:b/>
          <w:bCs/>
          <w:color w:val="auto"/>
          <w:sz w:val="32"/>
          <w:szCs w:val="32"/>
          <w:u w:val="single"/>
          <w:lang w:val="en-US" w:eastAsia="zh-CN"/>
        </w:rPr>
        <w:t>6</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招标内容：</w:t>
      </w:r>
      <w:r>
        <w:rPr>
          <w:rFonts w:hint="eastAsia" w:ascii="仿宋" w:hAnsi="仿宋" w:eastAsia="仿宋" w:cs="仿宋_GB2312"/>
          <w:b/>
          <w:bCs/>
          <w:sz w:val="32"/>
          <w:szCs w:val="32"/>
          <w:u w:val="single"/>
          <w:lang w:eastAsia="zh-CN"/>
        </w:rPr>
        <w:t>空压机组、磁力钻等</w:t>
      </w:r>
      <w:r>
        <w:rPr>
          <w:rFonts w:hint="eastAsia" w:ascii="仿宋" w:hAnsi="仿宋" w:eastAsia="仿宋" w:cs="仿宋_GB2312"/>
          <w:b/>
          <w:bCs/>
          <w:sz w:val="32"/>
          <w:szCs w:val="32"/>
          <w:u w:val="single"/>
          <w:lang w:val="en-US" w:eastAsia="zh-CN"/>
        </w:rPr>
        <w:t>机、器具</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eastAsia="zh-CN"/>
        </w:rPr>
      </w:pPr>
      <w:r>
        <w:rPr>
          <w:rFonts w:hint="eastAsia" w:ascii="仿宋" w:hAnsi="仿宋" w:eastAsia="仿宋" w:cs="仿宋_GB2312"/>
          <w:b/>
          <w:bCs/>
          <w:sz w:val="32"/>
          <w:szCs w:val="32"/>
          <w:u w:val="none"/>
        </w:rPr>
        <w:t>招标人：</w:t>
      </w:r>
      <w:r>
        <w:rPr>
          <w:rFonts w:hint="eastAsia" w:ascii="仿宋" w:hAnsi="仿宋" w:eastAsia="仿宋" w:cs="仿宋_GB2312"/>
          <w:b/>
          <w:bCs/>
          <w:sz w:val="32"/>
          <w:szCs w:val="32"/>
          <w:u w:val="single"/>
        </w:rPr>
        <w:t>铜陵</w:t>
      </w:r>
      <w:r>
        <w:rPr>
          <w:rFonts w:hint="eastAsia" w:ascii="仿宋" w:hAnsi="仿宋" w:eastAsia="仿宋" w:cs="仿宋_GB2312"/>
          <w:b/>
          <w:bCs/>
          <w:sz w:val="32"/>
          <w:szCs w:val="32"/>
          <w:u w:val="single"/>
          <w:lang w:eastAsia="zh-CN"/>
        </w:rPr>
        <w:t>有色金属集团铜冠建筑安装股份有限公司</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rPr>
      </w:pPr>
      <w:r>
        <w:rPr>
          <w:rFonts w:hint="eastAsia" w:ascii="仿宋" w:hAnsi="仿宋" w:eastAsia="仿宋" w:cs="仿宋_GB2312"/>
          <w:b/>
          <w:bCs/>
          <w:sz w:val="32"/>
          <w:szCs w:val="32"/>
          <w:u w:val="none"/>
        </w:rPr>
        <w:t>联系人：</w:t>
      </w:r>
      <w:r>
        <w:rPr>
          <w:rFonts w:hint="eastAsia" w:ascii="仿宋" w:hAnsi="仿宋" w:eastAsia="仿宋" w:cs="仿宋_GB2312"/>
          <w:b/>
          <w:bCs/>
          <w:sz w:val="32"/>
          <w:szCs w:val="32"/>
          <w:u w:val="single"/>
        </w:rPr>
        <w:t xml:space="preserve">章浩（18705628595）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投标截止时间：</w:t>
      </w:r>
      <w:r>
        <w:rPr>
          <w:rFonts w:hint="eastAsia" w:ascii="仿宋" w:hAnsi="仿宋" w:eastAsia="仿宋" w:cs="仿宋_GB2312"/>
          <w:b/>
          <w:bCs/>
          <w:sz w:val="32"/>
          <w:szCs w:val="32"/>
          <w:u w:val="single"/>
        </w:rPr>
        <w:t xml:space="preserve"> 202</w:t>
      </w:r>
      <w:r>
        <w:rPr>
          <w:rFonts w:hint="eastAsia" w:ascii="仿宋" w:hAnsi="仿宋" w:eastAsia="仿宋" w:cs="仿宋_GB2312"/>
          <w:b/>
          <w:bCs/>
          <w:sz w:val="32"/>
          <w:szCs w:val="32"/>
          <w:u w:val="single"/>
          <w:lang w:val="en-US" w:eastAsia="zh-CN"/>
        </w:rPr>
        <w:t>1</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4</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21</w:t>
      </w:r>
      <w:r>
        <w:rPr>
          <w:rFonts w:hint="eastAsia" w:ascii="仿宋" w:hAnsi="仿宋" w:eastAsia="仿宋" w:cs="仿宋_GB2312"/>
          <w:b/>
          <w:bCs/>
          <w:sz w:val="32"/>
          <w:szCs w:val="32"/>
          <w:u w:val="single"/>
        </w:rPr>
        <w:t xml:space="preserve">日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 xml:space="preserve">：00   </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w:t>
      </w:r>
      <w:r>
        <w:rPr>
          <w:rFonts w:hint="eastAsia" w:ascii="仿宋" w:hAnsi="仿宋" w:eastAsia="仿宋" w:cs="仿宋_GB2312"/>
          <w:sz w:val="28"/>
          <w:szCs w:val="28"/>
          <w:lang w:eastAsia="zh-CN"/>
        </w:rPr>
        <w:t>工程</w:t>
      </w:r>
      <w:r>
        <w:rPr>
          <w:rFonts w:hint="eastAsia" w:ascii="仿宋" w:hAnsi="仿宋" w:eastAsia="仿宋" w:cs="仿宋_GB2312"/>
          <w:sz w:val="28"/>
          <w:szCs w:val="28"/>
        </w:rPr>
        <w:t>部根据阳光工程相关规定通过招标平台进行公开招标（竞价）。</w:t>
      </w:r>
    </w:p>
    <w:p>
      <w:pPr>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ascii="仿宋" w:hAnsi="仿宋" w:eastAsia="仿宋" w:cs="仿宋_GB2312"/>
          <w:b/>
          <w:sz w:val="36"/>
          <w:szCs w:val="36"/>
        </w:rPr>
      </w:pPr>
      <w:r>
        <w:rPr>
          <w:rFonts w:hint="eastAsia" w:ascii="仿宋" w:hAnsi="仿宋" w:eastAsia="仿宋" w:cs="仿宋_GB2312"/>
          <w:b/>
          <w:sz w:val="36"/>
          <w:szCs w:val="36"/>
        </w:rPr>
        <w:t>一、招标日程安排</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4</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4</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w:t>
      </w:r>
      <w:r>
        <w:rPr>
          <w:rFonts w:hint="eastAsia" w:ascii="仿宋" w:hAnsi="仿宋" w:eastAsia="仿宋" w:cs="仿宋_GB2312"/>
          <w:sz w:val="28"/>
          <w:szCs w:val="28"/>
          <w:u w:val="single"/>
        </w:rPr>
        <w:t>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4</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本次招标</w:t>
      </w:r>
      <w:r>
        <w:rPr>
          <w:rFonts w:hint="eastAsia" w:ascii="仿宋" w:hAnsi="仿宋" w:eastAsia="仿宋" w:cs="仿宋_GB2312"/>
          <w:sz w:val="28"/>
          <w:szCs w:val="28"/>
          <w:lang w:eastAsia="zh-CN"/>
        </w:rPr>
        <w:t>机、器具</w:t>
      </w:r>
      <w:r>
        <w:rPr>
          <w:rFonts w:hint="eastAsia" w:ascii="仿宋" w:hAnsi="仿宋" w:eastAsia="仿宋" w:cs="仿宋_GB2312"/>
          <w:sz w:val="28"/>
          <w:szCs w:val="28"/>
        </w:rPr>
        <w:t>的</w:t>
      </w:r>
      <w:r>
        <w:rPr>
          <w:rFonts w:hint="eastAsia" w:ascii="仿宋" w:hAnsi="仿宋" w:eastAsia="仿宋" w:cs="仿宋_GB2312"/>
          <w:sz w:val="28"/>
          <w:szCs w:val="28"/>
          <w:lang w:eastAsia="zh-CN"/>
        </w:rPr>
        <w:t>技术指标：（报价单见附件）</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1680"/>
        <w:gridCol w:w="570"/>
        <w:gridCol w:w="600"/>
        <w:gridCol w:w="3705"/>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532"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序号</w:t>
            </w:r>
          </w:p>
        </w:tc>
        <w:tc>
          <w:tcPr>
            <w:tcW w:w="168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名称</w:t>
            </w:r>
          </w:p>
        </w:tc>
        <w:tc>
          <w:tcPr>
            <w:tcW w:w="57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单位</w:t>
            </w:r>
          </w:p>
        </w:tc>
        <w:tc>
          <w:tcPr>
            <w:tcW w:w="60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数量</w:t>
            </w:r>
          </w:p>
        </w:tc>
        <w:tc>
          <w:tcPr>
            <w:tcW w:w="3705"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参数要求</w:t>
            </w:r>
          </w:p>
        </w:tc>
        <w:tc>
          <w:tcPr>
            <w:tcW w:w="1944"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w:t>
            </w:r>
          </w:p>
        </w:tc>
        <w:tc>
          <w:tcPr>
            <w:tcW w:w="168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空压机组</w:t>
            </w:r>
          </w:p>
        </w:tc>
        <w:tc>
          <w:tcPr>
            <w:tcW w:w="57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台</w:t>
            </w:r>
          </w:p>
        </w:tc>
        <w:tc>
          <w:tcPr>
            <w:tcW w:w="60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2</w:t>
            </w:r>
          </w:p>
        </w:tc>
        <w:tc>
          <w:tcPr>
            <w:tcW w:w="3705" w:type="dxa"/>
            <w:vAlign w:val="center"/>
          </w:tcPr>
          <w:p>
            <w:pPr>
              <w:jc w:val="both"/>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型号：V0.6/8；额定电压440V，频率60HZ，功率4KW</w:t>
            </w:r>
          </w:p>
        </w:tc>
        <w:tc>
          <w:tcPr>
            <w:tcW w:w="1944" w:type="dxa"/>
            <w:vAlign w:val="center"/>
          </w:tcPr>
          <w:p>
            <w:pPr>
              <w:jc w:val="center"/>
              <w:rPr>
                <w:rFonts w:hint="default" w:ascii="仿宋" w:hAnsi="仿宋" w:eastAsia="仿宋"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2</w:t>
            </w:r>
          </w:p>
        </w:tc>
        <w:tc>
          <w:tcPr>
            <w:tcW w:w="168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磁力钻</w:t>
            </w:r>
          </w:p>
        </w:tc>
        <w:tc>
          <w:tcPr>
            <w:tcW w:w="57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套</w:t>
            </w:r>
          </w:p>
        </w:tc>
        <w:tc>
          <w:tcPr>
            <w:tcW w:w="60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2</w:t>
            </w:r>
          </w:p>
        </w:tc>
        <w:tc>
          <w:tcPr>
            <w:tcW w:w="3705" w:type="dxa"/>
            <w:vAlign w:val="center"/>
          </w:tcPr>
          <w:p>
            <w:pPr>
              <w:jc w:val="both"/>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最大钻孔直径24mm,额定电压440V，频率60HZ，功率1.5KW</w:t>
            </w:r>
          </w:p>
        </w:tc>
        <w:tc>
          <w:tcPr>
            <w:tcW w:w="1944" w:type="dxa"/>
            <w:vAlign w:val="center"/>
          </w:tcPr>
          <w:p>
            <w:pPr>
              <w:jc w:val="center"/>
              <w:rPr>
                <w:rFonts w:hint="default" w:ascii="仿宋" w:hAnsi="仿宋" w:eastAsia="仿宋"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3</w:t>
            </w:r>
          </w:p>
        </w:tc>
        <w:tc>
          <w:tcPr>
            <w:tcW w:w="168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等离子切割机</w:t>
            </w:r>
          </w:p>
        </w:tc>
        <w:tc>
          <w:tcPr>
            <w:tcW w:w="57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台</w:t>
            </w:r>
          </w:p>
        </w:tc>
        <w:tc>
          <w:tcPr>
            <w:tcW w:w="60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2</w:t>
            </w:r>
          </w:p>
        </w:tc>
        <w:tc>
          <w:tcPr>
            <w:tcW w:w="3705" w:type="dxa"/>
            <w:vAlign w:val="center"/>
          </w:tcPr>
          <w:p>
            <w:pPr>
              <w:jc w:val="both"/>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型号：CUt120，额定电压440V，频率60HZ</w:t>
            </w:r>
          </w:p>
        </w:tc>
        <w:tc>
          <w:tcPr>
            <w:tcW w:w="1944"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配气动风管10米，等离子割枪10米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4</w:t>
            </w:r>
          </w:p>
        </w:tc>
        <w:tc>
          <w:tcPr>
            <w:tcW w:w="168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气保焊机</w:t>
            </w:r>
          </w:p>
        </w:tc>
        <w:tc>
          <w:tcPr>
            <w:tcW w:w="57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台</w:t>
            </w:r>
          </w:p>
        </w:tc>
        <w:tc>
          <w:tcPr>
            <w:tcW w:w="60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2</w:t>
            </w:r>
          </w:p>
        </w:tc>
        <w:tc>
          <w:tcPr>
            <w:tcW w:w="3705" w:type="dxa"/>
            <w:vAlign w:val="center"/>
          </w:tcPr>
          <w:p>
            <w:pPr>
              <w:jc w:val="both"/>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额定输出电流500A，额定电压440V，频率60HZ</w:t>
            </w:r>
          </w:p>
        </w:tc>
        <w:tc>
          <w:tcPr>
            <w:tcW w:w="1944"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可当普通焊机用，配焊把2把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5</w:t>
            </w:r>
          </w:p>
        </w:tc>
        <w:tc>
          <w:tcPr>
            <w:tcW w:w="168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氩弧焊机</w:t>
            </w:r>
          </w:p>
        </w:tc>
        <w:tc>
          <w:tcPr>
            <w:tcW w:w="57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台</w:t>
            </w:r>
          </w:p>
        </w:tc>
        <w:tc>
          <w:tcPr>
            <w:tcW w:w="60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2</w:t>
            </w:r>
          </w:p>
        </w:tc>
        <w:tc>
          <w:tcPr>
            <w:tcW w:w="3705" w:type="dxa"/>
            <w:vAlign w:val="center"/>
          </w:tcPr>
          <w:p>
            <w:pPr>
              <w:jc w:val="both"/>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额定输出电流500A，额定电压440V，频率60HZ</w:t>
            </w:r>
          </w:p>
        </w:tc>
        <w:tc>
          <w:tcPr>
            <w:tcW w:w="1944"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可当普通焊机用，配氩弧焊把2把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6</w:t>
            </w:r>
          </w:p>
        </w:tc>
        <w:tc>
          <w:tcPr>
            <w:tcW w:w="168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电动套丝机</w:t>
            </w:r>
          </w:p>
        </w:tc>
        <w:tc>
          <w:tcPr>
            <w:tcW w:w="57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套</w:t>
            </w:r>
          </w:p>
        </w:tc>
        <w:tc>
          <w:tcPr>
            <w:tcW w:w="60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w:t>
            </w:r>
          </w:p>
        </w:tc>
        <w:tc>
          <w:tcPr>
            <w:tcW w:w="3705" w:type="dxa"/>
            <w:vAlign w:val="center"/>
          </w:tcPr>
          <w:p>
            <w:pPr>
              <w:jc w:val="both"/>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最大加工管径：50mm，额定电压440V，频率60HZ，功率0.75KW</w:t>
            </w:r>
          </w:p>
        </w:tc>
        <w:tc>
          <w:tcPr>
            <w:tcW w:w="1944"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配全套套丝板牙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7</w:t>
            </w:r>
          </w:p>
        </w:tc>
        <w:tc>
          <w:tcPr>
            <w:tcW w:w="168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双桶型滤油机</w:t>
            </w:r>
          </w:p>
        </w:tc>
        <w:tc>
          <w:tcPr>
            <w:tcW w:w="57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台</w:t>
            </w:r>
          </w:p>
        </w:tc>
        <w:tc>
          <w:tcPr>
            <w:tcW w:w="60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w:t>
            </w:r>
          </w:p>
        </w:tc>
        <w:tc>
          <w:tcPr>
            <w:tcW w:w="3705" w:type="dxa"/>
            <w:vAlign w:val="center"/>
          </w:tcPr>
          <w:p>
            <w:pPr>
              <w:jc w:val="both"/>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额定电压440V，频率60HZ，工作压力满足0.3MPa，功率0.75KW</w:t>
            </w:r>
          </w:p>
        </w:tc>
        <w:tc>
          <w:tcPr>
            <w:tcW w:w="1944" w:type="dxa"/>
            <w:vAlign w:val="center"/>
          </w:tcPr>
          <w:p>
            <w:pPr>
              <w:jc w:val="center"/>
              <w:rPr>
                <w:rFonts w:hint="default" w:ascii="仿宋" w:hAnsi="仿宋" w:eastAsia="仿宋"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8</w:t>
            </w:r>
          </w:p>
        </w:tc>
        <w:tc>
          <w:tcPr>
            <w:tcW w:w="1680" w:type="dxa"/>
            <w:vAlign w:val="center"/>
          </w:tcPr>
          <w:p>
            <w:pPr>
              <w:jc w:val="cente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台式钻床</w:t>
            </w:r>
          </w:p>
        </w:tc>
        <w:tc>
          <w:tcPr>
            <w:tcW w:w="57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台</w:t>
            </w:r>
          </w:p>
        </w:tc>
        <w:tc>
          <w:tcPr>
            <w:tcW w:w="600"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w:t>
            </w:r>
          </w:p>
        </w:tc>
        <w:tc>
          <w:tcPr>
            <w:tcW w:w="3705" w:type="dxa"/>
            <w:vAlign w:val="center"/>
          </w:tcPr>
          <w:p>
            <w:pPr>
              <w:jc w:val="both"/>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额定电压440V，频率60HZ，最大钻孔直径24mm，钻攻两用</w:t>
            </w:r>
          </w:p>
        </w:tc>
        <w:tc>
          <w:tcPr>
            <w:tcW w:w="1944" w:type="dxa"/>
            <w:vAlign w:val="center"/>
          </w:tcPr>
          <w:p>
            <w:pPr>
              <w:jc w:val="cente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配配套钻夹和所有常用钻头各5只、配套常用丝锥各4只</w:t>
            </w:r>
          </w:p>
        </w:tc>
      </w:tr>
    </w:tbl>
    <w:p>
      <w:pPr>
        <w:ind w:firstLine="560" w:firstLineChars="200"/>
        <w:rPr>
          <w:rFonts w:hint="default" w:ascii="仿宋" w:hAnsi="仿宋" w:eastAsia="仿宋" w:cs="仿宋_GB2312"/>
          <w:sz w:val="28"/>
          <w:szCs w:val="28"/>
          <w:lang w:val="en-US" w:eastAsia="zh-CN"/>
        </w:rPr>
      </w:pPr>
    </w:p>
    <w:p>
      <w:pPr>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w:t>
      </w:r>
      <w:r>
        <w:rPr>
          <w:rFonts w:hint="eastAsia" w:ascii="仿宋" w:hAnsi="仿宋" w:eastAsia="仿宋" w:cs="仿宋_GB2312"/>
          <w:sz w:val="28"/>
          <w:szCs w:val="28"/>
          <w:lang w:eastAsia="zh-CN"/>
        </w:rPr>
        <w:t>内容</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w:t>
      </w:r>
      <w:r>
        <w:rPr>
          <w:rFonts w:hint="eastAsia" w:ascii="仿宋" w:hAnsi="仿宋" w:eastAsia="仿宋" w:cs="仿宋_GB2312"/>
          <w:sz w:val="28"/>
          <w:szCs w:val="28"/>
          <w:lang w:eastAsia="zh-CN"/>
        </w:rPr>
        <w:t>机械运输</w:t>
      </w:r>
      <w:r>
        <w:rPr>
          <w:rFonts w:hint="eastAsia" w:ascii="仿宋" w:hAnsi="仿宋" w:eastAsia="仿宋" w:cs="仿宋_GB2312"/>
          <w:sz w:val="28"/>
          <w:szCs w:val="28"/>
        </w:rPr>
        <w:t>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五</w:t>
      </w:r>
      <w:r>
        <w:rPr>
          <w:rFonts w:hint="eastAsia" w:ascii="仿宋" w:hAnsi="仿宋" w:eastAsia="仿宋" w:cs="仿宋_GB2312"/>
          <w:b/>
          <w:sz w:val="36"/>
          <w:szCs w:val="36"/>
        </w:rPr>
        <w:t>、 投标文件的递交</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4</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bookmarkStart w:id="0" w:name="_GoBack"/>
      <w:bookmarkEnd w:id="0"/>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2、投标文件递交地点：</w:t>
      </w:r>
      <w:r>
        <w:rPr>
          <w:rFonts w:hint="eastAsia" w:ascii="仿宋" w:hAnsi="仿宋" w:eastAsia="仿宋" w:cs="仿宋_GB2312"/>
          <w:sz w:val="28"/>
          <w:szCs w:val="28"/>
          <w:u w:val="single"/>
        </w:rPr>
        <w:t>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_GB2312"/>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、投标人须知</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）投标人如若中标，提供的</w:t>
      </w:r>
      <w:r>
        <w:rPr>
          <w:rFonts w:hint="eastAsia" w:ascii="仿宋" w:hAnsi="仿宋" w:eastAsia="仿宋" w:cs="仿宋_GB2312"/>
          <w:sz w:val="28"/>
          <w:szCs w:val="28"/>
          <w:lang w:eastAsia="zh-CN"/>
        </w:rPr>
        <w:t>设备</w:t>
      </w:r>
      <w:r>
        <w:rPr>
          <w:rFonts w:hint="eastAsia" w:ascii="仿宋" w:hAnsi="仿宋" w:eastAsia="仿宋" w:cs="仿宋_GB2312"/>
          <w:sz w:val="28"/>
          <w:szCs w:val="28"/>
        </w:rPr>
        <w:t>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）若达不到招标人要求的，中标人无条件将该批货物拉回且不计货款，动用招标人机械的收取相应费用。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_GB2312"/>
          <w:sz w:val="28"/>
          <w:szCs w:val="28"/>
          <w:u w:val="single"/>
          <w:lang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w:t>
      </w:r>
      <w:r>
        <w:rPr>
          <w:rFonts w:hint="eastAsia" w:ascii="仿宋" w:hAnsi="仿宋" w:eastAsia="仿宋" w:cs="仿宋_GB2312"/>
          <w:sz w:val="28"/>
          <w:szCs w:val="28"/>
          <w:u w:val="single"/>
        </w:rPr>
        <w:t>报价为含税（税率必须注明）、含运费（至安徽铜陵</w:t>
      </w:r>
      <w:r>
        <w:rPr>
          <w:rFonts w:hint="eastAsia" w:ascii="仿宋" w:hAnsi="仿宋" w:eastAsia="仿宋" w:cs="仿宋_GB2312"/>
          <w:sz w:val="28"/>
          <w:szCs w:val="28"/>
          <w:u w:val="single"/>
          <w:lang w:eastAsia="zh-CN"/>
        </w:rPr>
        <w:t>指定地点）。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）投标文件密封袋封口处应密封完整，加盖投标单位公章，并且注明招标编号及</w:t>
      </w:r>
      <w:r>
        <w:rPr>
          <w:rFonts w:hint="eastAsia" w:ascii="仿宋" w:hAnsi="仿宋" w:eastAsia="仿宋" w:cs="仿宋_GB2312"/>
          <w:sz w:val="28"/>
          <w:szCs w:val="28"/>
          <w:lang w:eastAsia="zh-CN"/>
        </w:rPr>
        <w:t>设备</w:t>
      </w:r>
      <w:r>
        <w:rPr>
          <w:rFonts w:hint="eastAsia" w:ascii="仿宋" w:hAnsi="仿宋" w:eastAsia="仿宋" w:cs="仿宋_GB2312"/>
          <w:sz w:val="28"/>
          <w:szCs w:val="28"/>
        </w:rPr>
        <w:t>名称。因投标人制作、密封、寄送报价文件不符合要求的视为无效投标。</w:t>
      </w:r>
    </w:p>
    <w:p>
      <w:pPr>
        <w:ind w:firstLine="565" w:firstLineChars="202"/>
        <w:rPr>
          <w:rFonts w:ascii="仿宋" w:hAnsi="仿宋" w:eastAsia="仿宋" w:cs="仿宋_GB2312"/>
          <w:b/>
          <w:sz w:val="36"/>
          <w:szCs w:val="36"/>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7</w:t>
      </w:r>
      <w:r>
        <w:rPr>
          <w:rFonts w:hint="eastAsia" w:ascii="仿宋" w:hAnsi="仿宋" w:eastAsia="仿宋" w:cs="仿宋_GB2312"/>
          <w:sz w:val="28"/>
          <w:szCs w:val="28"/>
        </w:rPr>
        <w:t>）投标人首次投标时需提供加盖公章的营业执照副本的复印件及其它资质资料。</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、纪律和监督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_GB2312"/>
          <w:b/>
          <w:bCs/>
          <w:sz w:val="28"/>
          <w:szCs w:val="28"/>
          <w:u w:val="none"/>
          <w:lang w:val="en-US" w:eastAsia="zh-CN"/>
        </w:rPr>
      </w:pPr>
      <w:r>
        <w:rPr>
          <w:rStyle w:val="48"/>
          <w:rFonts w:hint="eastAsia" w:ascii="仿宋_GB2312" w:hAnsi="仿宋_GB2312" w:eastAsia="仿宋_GB2312" w:cs="仿宋_GB2312"/>
          <w:color w:val="333333"/>
          <w:sz w:val="28"/>
          <w:szCs w:val="28"/>
          <w:lang w:eastAsia="zh-CN"/>
        </w:rPr>
        <w:t>附件：</w:t>
      </w:r>
      <w:r>
        <w:rPr>
          <w:rStyle w:val="48"/>
          <w:rFonts w:hint="eastAsia" w:ascii="仿宋_GB2312" w:hAnsi="仿宋_GB2312" w:eastAsia="仿宋_GB2312" w:cs="仿宋_GB2312"/>
          <w:color w:val="333333"/>
          <w:sz w:val="28"/>
          <w:szCs w:val="28"/>
        </w:rPr>
        <w:t>报价单</w:t>
      </w:r>
      <w:r>
        <w:rPr>
          <w:rStyle w:val="48"/>
          <w:rFonts w:hint="eastAsia" w:ascii="仿宋_GB2312" w:hAnsi="仿宋_GB2312" w:eastAsia="仿宋_GB2312" w:cs="仿宋_GB2312"/>
          <w:color w:val="333333"/>
          <w:sz w:val="28"/>
          <w:szCs w:val="28"/>
          <w:lang w:eastAsia="zh-CN"/>
        </w:rPr>
        <w:t>（</w:t>
      </w:r>
      <w:r>
        <w:rPr>
          <w:rFonts w:hint="eastAsia" w:ascii="仿宋" w:hAnsi="仿宋" w:eastAsia="仿宋" w:cs="仿宋_GB2312"/>
          <w:b/>
          <w:bCs/>
          <w:sz w:val="28"/>
          <w:szCs w:val="28"/>
          <w:u w:val="none"/>
        </w:rPr>
        <w:t>TGJA</w:t>
      </w:r>
      <w:r>
        <w:rPr>
          <w:rFonts w:hint="eastAsia" w:ascii="仿宋" w:hAnsi="仿宋" w:eastAsia="仿宋" w:cs="仿宋_GB2312"/>
          <w:b/>
          <w:bCs/>
          <w:sz w:val="28"/>
          <w:szCs w:val="28"/>
          <w:u w:val="none"/>
          <w:lang w:val="en-US" w:eastAsia="zh-CN"/>
        </w:rPr>
        <w:t>-</w:t>
      </w:r>
      <w:r>
        <w:rPr>
          <w:rFonts w:hint="eastAsia" w:ascii="仿宋" w:hAnsi="仿宋" w:eastAsia="仿宋" w:cs="仿宋_GB2312"/>
          <w:b/>
          <w:bCs/>
          <w:sz w:val="28"/>
          <w:szCs w:val="28"/>
          <w:u w:val="none"/>
        </w:rPr>
        <w:t>JX</w:t>
      </w:r>
      <w:r>
        <w:rPr>
          <w:rFonts w:hint="eastAsia" w:ascii="仿宋" w:hAnsi="仿宋" w:eastAsia="仿宋" w:cs="仿宋_GB2312"/>
          <w:b/>
          <w:bCs/>
          <w:sz w:val="28"/>
          <w:szCs w:val="28"/>
          <w:u w:val="none"/>
          <w:lang w:val="en-US" w:eastAsia="zh-CN"/>
        </w:rPr>
        <w:t>-</w:t>
      </w:r>
      <w:r>
        <w:rPr>
          <w:rFonts w:hint="eastAsia" w:ascii="仿宋" w:hAnsi="仿宋" w:eastAsia="仿宋" w:cs="仿宋_GB2312"/>
          <w:b/>
          <w:bCs/>
          <w:sz w:val="28"/>
          <w:szCs w:val="28"/>
          <w:u w:val="none"/>
        </w:rPr>
        <w:t>202</w:t>
      </w:r>
      <w:r>
        <w:rPr>
          <w:rFonts w:hint="eastAsia" w:ascii="仿宋" w:hAnsi="仿宋" w:eastAsia="仿宋" w:cs="仿宋_GB2312"/>
          <w:b/>
          <w:bCs/>
          <w:sz w:val="28"/>
          <w:szCs w:val="28"/>
          <w:u w:val="none"/>
          <w:lang w:val="en-US" w:eastAsia="zh-CN"/>
        </w:rPr>
        <w:t>1</w:t>
      </w:r>
      <w:r>
        <w:rPr>
          <w:rFonts w:hint="eastAsia" w:ascii="仿宋" w:hAnsi="仿宋" w:eastAsia="仿宋" w:cs="仿宋_GB2312"/>
          <w:b/>
          <w:bCs/>
          <w:sz w:val="28"/>
          <w:szCs w:val="28"/>
          <w:u w:val="none"/>
        </w:rPr>
        <w:t>-0</w:t>
      </w:r>
      <w:r>
        <w:rPr>
          <w:rFonts w:hint="eastAsia" w:ascii="仿宋" w:hAnsi="仿宋" w:eastAsia="仿宋" w:cs="仿宋_GB2312"/>
          <w:b/>
          <w:bCs/>
          <w:sz w:val="28"/>
          <w:szCs w:val="28"/>
          <w:u w:val="none"/>
          <w:lang w:val="en-US" w:eastAsia="zh-CN"/>
        </w:rPr>
        <w:t>6）</w:t>
      </w:r>
    </w:p>
    <w:tbl>
      <w:tblPr>
        <w:tblStyle w:val="45"/>
        <w:tblpPr w:leftFromText="180" w:rightFromText="180" w:vertAnchor="text" w:horzAnchor="page" w:tblpX="1663" w:tblpY="174"/>
        <w:tblOverlap w:val="never"/>
        <w:tblW w:w="13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822"/>
        <w:gridCol w:w="1478"/>
        <w:gridCol w:w="718"/>
        <w:gridCol w:w="709"/>
        <w:gridCol w:w="1265"/>
        <w:gridCol w:w="112"/>
        <w:gridCol w:w="1268"/>
        <w:gridCol w:w="1200"/>
        <w:gridCol w:w="1245"/>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68"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822"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设备名称</w:t>
            </w:r>
          </w:p>
        </w:tc>
        <w:tc>
          <w:tcPr>
            <w:tcW w:w="147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规格型号</w:t>
            </w:r>
          </w:p>
        </w:tc>
        <w:tc>
          <w:tcPr>
            <w:tcW w:w="718"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70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377"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单价＊</w:t>
            </w:r>
          </w:p>
        </w:tc>
        <w:tc>
          <w:tcPr>
            <w:tcW w:w="1268"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总价＊</w:t>
            </w:r>
          </w:p>
        </w:tc>
        <w:tc>
          <w:tcPr>
            <w:tcW w:w="1200"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税率＊</w:t>
            </w:r>
          </w:p>
        </w:tc>
        <w:tc>
          <w:tcPr>
            <w:tcW w:w="4617"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22"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空压机组</w:t>
            </w:r>
          </w:p>
        </w:tc>
        <w:tc>
          <w:tcPr>
            <w:tcW w:w="1478" w:type="dxa"/>
            <w:noWrap w:val="0"/>
            <w:vAlign w:val="center"/>
          </w:tcPr>
          <w:p>
            <w:pPr>
              <w:widowControl w:val="0"/>
              <w:jc w:val="center"/>
              <w:rPr>
                <w:rFonts w:hint="default" w:ascii="宋体" w:hAnsi="宋体" w:eastAsia="宋体" w:cs="宋体"/>
                <w:b/>
                <w:sz w:val="24"/>
                <w:szCs w:val="24"/>
                <w:lang w:val="en-US" w:eastAsia="zh-CN"/>
              </w:rPr>
            </w:pPr>
          </w:p>
        </w:tc>
        <w:tc>
          <w:tcPr>
            <w:tcW w:w="718"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台</w:t>
            </w:r>
          </w:p>
        </w:tc>
        <w:tc>
          <w:tcPr>
            <w:tcW w:w="709" w:type="dxa"/>
            <w:noWrap w:val="0"/>
            <w:vAlign w:val="center"/>
          </w:tcPr>
          <w:p>
            <w:pPr>
              <w:widowControl w:val="0"/>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2</w:t>
            </w:r>
          </w:p>
        </w:tc>
        <w:tc>
          <w:tcPr>
            <w:tcW w:w="1377" w:type="dxa"/>
            <w:gridSpan w:val="2"/>
            <w:noWrap w:val="0"/>
            <w:vAlign w:val="center"/>
          </w:tcPr>
          <w:p>
            <w:pPr>
              <w:widowControl w:val="0"/>
              <w:jc w:val="both"/>
              <w:rPr>
                <w:rFonts w:ascii="宋体" w:hAnsi="宋体" w:eastAsia="宋体" w:cs="宋体"/>
                <w:b/>
                <w:sz w:val="24"/>
                <w:szCs w:val="24"/>
              </w:rPr>
            </w:pPr>
          </w:p>
        </w:tc>
        <w:tc>
          <w:tcPr>
            <w:tcW w:w="1268" w:type="dxa"/>
            <w:noWrap w:val="0"/>
            <w:vAlign w:val="center"/>
          </w:tcPr>
          <w:p>
            <w:pPr>
              <w:widowControl w:val="0"/>
              <w:jc w:val="center"/>
              <w:rPr>
                <w:rFonts w:ascii="宋体" w:hAnsi="宋体" w:eastAsia="宋体" w:cs="宋体"/>
                <w:b/>
                <w:sz w:val="24"/>
                <w:szCs w:val="24"/>
              </w:rPr>
            </w:pPr>
          </w:p>
        </w:tc>
        <w:tc>
          <w:tcPr>
            <w:tcW w:w="1200" w:type="dxa"/>
            <w:noWrap w:val="0"/>
            <w:vAlign w:val="center"/>
          </w:tcPr>
          <w:p>
            <w:pPr>
              <w:widowControl w:val="0"/>
              <w:jc w:val="center"/>
              <w:rPr>
                <w:rFonts w:ascii="宋体" w:hAnsi="宋体" w:eastAsia="宋体" w:cs="宋体"/>
                <w:b/>
                <w:sz w:val="24"/>
                <w:szCs w:val="24"/>
              </w:rPr>
            </w:pPr>
          </w:p>
        </w:tc>
        <w:tc>
          <w:tcPr>
            <w:tcW w:w="4617" w:type="dxa"/>
            <w:gridSpan w:val="2"/>
            <w:noWrap w:val="0"/>
            <w:vAlign w:val="center"/>
          </w:tcPr>
          <w:p>
            <w:pPr>
              <w:widowControl w:val="0"/>
              <w:jc w:val="left"/>
              <w:rPr>
                <w:rFonts w:hint="default" w:ascii="宋体" w:hAnsi="宋体" w:cs="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shd w:val="clear" w:color="auto" w:fill="FFFFFF"/>
            <w:noWrap w:val="0"/>
            <w:vAlign w:val="center"/>
          </w:tcPr>
          <w:p>
            <w:pPr>
              <w:widowControl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822"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磁力钻</w:t>
            </w:r>
          </w:p>
        </w:tc>
        <w:tc>
          <w:tcPr>
            <w:tcW w:w="1478" w:type="dxa"/>
            <w:noWrap w:val="0"/>
            <w:vAlign w:val="center"/>
          </w:tcPr>
          <w:p>
            <w:pPr>
              <w:widowControl w:val="0"/>
              <w:jc w:val="center"/>
              <w:rPr>
                <w:rFonts w:hint="default" w:ascii="宋体" w:hAnsi="宋体" w:eastAsia="宋体" w:cs="宋体"/>
                <w:b/>
                <w:sz w:val="24"/>
                <w:szCs w:val="24"/>
                <w:lang w:val="en-US" w:eastAsia="zh-CN"/>
              </w:rPr>
            </w:pPr>
          </w:p>
        </w:tc>
        <w:tc>
          <w:tcPr>
            <w:tcW w:w="718"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套</w:t>
            </w:r>
          </w:p>
        </w:tc>
        <w:tc>
          <w:tcPr>
            <w:tcW w:w="709" w:type="dxa"/>
            <w:noWrap w:val="0"/>
            <w:vAlign w:val="center"/>
          </w:tcPr>
          <w:p>
            <w:pPr>
              <w:widowControl w:val="0"/>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2</w:t>
            </w:r>
          </w:p>
        </w:tc>
        <w:tc>
          <w:tcPr>
            <w:tcW w:w="1377" w:type="dxa"/>
            <w:gridSpan w:val="2"/>
            <w:noWrap w:val="0"/>
            <w:vAlign w:val="center"/>
          </w:tcPr>
          <w:p>
            <w:pPr>
              <w:widowControl w:val="0"/>
              <w:jc w:val="both"/>
              <w:rPr>
                <w:rFonts w:ascii="宋体" w:hAnsi="宋体" w:eastAsia="宋体" w:cs="宋体"/>
                <w:b/>
                <w:sz w:val="24"/>
                <w:szCs w:val="24"/>
              </w:rPr>
            </w:pPr>
          </w:p>
        </w:tc>
        <w:tc>
          <w:tcPr>
            <w:tcW w:w="1268" w:type="dxa"/>
            <w:noWrap w:val="0"/>
            <w:vAlign w:val="center"/>
          </w:tcPr>
          <w:p>
            <w:pPr>
              <w:widowControl w:val="0"/>
              <w:jc w:val="center"/>
              <w:rPr>
                <w:rFonts w:ascii="宋体" w:hAnsi="宋体" w:eastAsia="宋体" w:cs="宋体"/>
                <w:b/>
                <w:sz w:val="24"/>
                <w:szCs w:val="24"/>
              </w:rPr>
            </w:pPr>
          </w:p>
        </w:tc>
        <w:tc>
          <w:tcPr>
            <w:tcW w:w="1200" w:type="dxa"/>
            <w:noWrap w:val="0"/>
            <w:vAlign w:val="center"/>
          </w:tcPr>
          <w:p>
            <w:pPr>
              <w:widowControl w:val="0"/>
              <w:jc w:val="center"/>
              <w:rPr>
                <w:rFonts w:ascii="宋体" w:hAnsi="宋体" w:eastAsia="宋体" w:cs="宋体"/>
                <w:b/>
                <w:sz w:val="24"/>
                <w:szCs w:val="24"/>
              </w:rPr>
            </w:pPr>
          </w:p>
        </w:tc>
        <w:tc>
          <w:tcPr>
            <w:tcW w:w="4617" w:type="dxa"/>
            <w:gridSpan w:val="2"/>
            <w:noWrap w:val="0"/>
            <w:vAlign w:val="center"/>
          </w:tcPr>
          <w:p>
            <w:pPr>
              <w:widowControl w:val="0"/>
              <w:jc w:val="left"/>
              <w:rPr>
                <w:rFonts w:hint="default" w:ascii="宋体" w:hAnsi="宋体" w:cs="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shd w:val="clear" w:color="auto" w:fill="FFFFFF"/>
            <w:noWrap w:val="0"/>
            <w:vAlign w:val="center"/>
          </w:tcPr>
          <w:p>
            <w:pPr>
              <w:widowControl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822"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等离子切割机</w:t>
            </w:r>
          </w:p>
        </w:tc>
        <w:tc>
          <w:tcPr>
            <w:tcW w:w="1478" w:type="dxa"/>
            <w:noWrap w:val="0"/>
            <w:vAlign w:val="center"/>
          </w:tcPr>
          <w:p>
            <w:pPr>
              <w:widowControl w:val="0"/>
              <w:jc w:val="center"/>
              <w:rPr>
                <w:rFonts w:hint="default" w:ascii="宋体" w:hAnsi="宋体" w:eastAsia="宋体" w:cs="宋体"/>
                <w:b/>
                <w:sz w:val="24"/>
                <w:szCs w:val="24"/>
                <w:lang w:val="en-US" w:eastAsia="zh-CN"/>
              </w:rPr>
            </w:pPr>
          </w:p>
        </w:tc>
        <w:tc>
          <w:tcPr>
            <w:tcW w:w="718"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台</w:t>
            </w:r>
          </w:p>
        </w:tc>
        <w:tc>
          <w:tcPr>
            <w:tcW w:w="709" w:type="dxa"/>
            <w:noWrap w:val="0"/>
            <w:vAlign w:val="center"/>
          </w:tcPr>
          <w:p>
            <w:pPr>
              <w:widowControl w:val="0"/>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2</w:t>
            </w:r>
          </w:p>
        </w:tc>
        <w:tc>
          <w:tcPr>
            <w:tcW w:w="1377" w:type="dxa"/>
            <w:gridSpan w:val="2"/>
            <w:noWrap w:val="0"/>
            <w:vAlign w:val="center"/>
          </w:tcPr>
          <w:p>
            <w:pPr>
              <w:widowControl w:val="0"/>
              <w:jc w:val="both"/>
              <w:rPr>
                <w:rFonts w:ascii="宋体" w:hAnsi="宋体" w:eastAsia="宋体" w:cs="宋体"/>
                <w:b/>
                <w:sz w:val="24"/>
                <w:szCs w:val="24"/>
              </w:rPr>
            </w:pPr>
          </w:p>
        </w:tc>
        <w:tc>
          <w:tcPr>
            <w:tcW w:w="1268" w:type="dxa"/>
            <w:noWrap w:val="0"/>
            <w:vAlign w:val="center"/>
          </w:tcPr>
          <w:p>
            <w:pPr>
              <w:widowControl w:val="0"/>
              <w:jc w:val="center"/>
              <w:rPr>
                <w:rFonts w:ascii="宋体" w:hAnsi="宋体" w:eastAsia="宋体" w:cs="宋体"/>
                <w:b/>
                <w:sz w:val="24"/>
                <w:szCs w:val="24"/>
              </w:rPr>
            </w:pPr>
          </w:p>
        </w:tc>
        <w:tc>
          <w:tcPr>
            <w:tcW w:w="1200" w:type="dxa"/>
            <w:noWrap w:val="0"/>
            <w:vAlign w:val="center"/>
          </w:tcPr>
          <w:p>
            <w:pPr>
              <w:widowControl w:val="0"/>
              <w:jc w:val="center"/>
              <w:rPr>
                <w:rFonts w:ascii="宋体" w:hAnsi="宋体" w:eastAsia="宋体" w:cs="宋体"/>
                <w:b/>
                <w:sz w:val="24"/>
                <w:szCs w:val="24"/>
              </w:rPr>
            </w:pPr>
          </w:p>
        </w:tc>
        <w:tc>
          <w:tcPr>
            <w:tcW w:w="4617" w:type="dxa"/>
            <w:gridSpan w:val="2"/>
            <w:noWrap w:val="0"/>
            <w:vAlign w:val="center"/>
          </w:tcPr>
          <w:p>
            <w:pPr>
              <w:widowControl w:val="0"/>
              <w:jc w:val="left"/>
              <w:rPr>
                <w:rFonts w:hint="default" w:ascii="宋体" w:hAnsi="宋体" w:cs="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shd w:val="clear" w:color="auto" w:fill="FFFFFF"/>
            <w:noWrap w:val="0"/>
            <w:vAlign w:val="center"/>
          </w:tcPr>
          <w:p>
            <w:pPr>
              <w:widowControl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822"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气保焊机</w:t>
            </w:r>
          </w:p>
        </w:tc>
        <w:tc>
          <w:tcPr>
            <w:tcW w:w="1478" w:type="dxa"/>
            <w:noWrap w:val="0"/>
            <w:vAlign w:val="center"/>
          </w:tcPr>
          <w:p>
            <w:pPr>
              <w:widowControl w:val="0"/>
              <w:jc w:val="center"/>
              <w:rPr>
                <w:rFonts w:hint="default" w:ascii="宋体" w:hAnsi="宋体" w:eastAsia="宋体" w:cs="宋体"/>
                <w:b/>
                <w:sz w:val="24"/>
                <w:szCs w:val="24"/>
                <w:lang w:val="en-US" w:eastAsia="zh-CN"/>
              </w:rPr>
            </w:pPr>
          </w:p>
        </w:tc>
        <w:tc>
          <w:tcPr>
            <w:tcW w:w="718"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台</w:t>
            </w:r>
          </w:p>
        </w:tc>
        <w:tc>
          <w:tcPr>
            <w:tcW w:w="709" w:type="dxa"/>
            <w:noWrap w:val="0"/>
            <w:vAlign w:val="center"/>
          </w:tcPr>
          <w:p>
            <w:pPr>
              <w:widowControl w:val="0"/>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2</w:t>
            </w:r>
          </w:p>
        </w:tc>
        <w:tc>
          <w:tcPr>
            <w:tcW w:w="1377" w:type="dxa"/>
            <w:gridSpan w:val="2"/>
            <w:noWrap w:val="0"/>
            <w:vAlign w:val="center"/>
          </w:tcPr>
          <w:p>
            <w:pPr>
              <w:widowControl w:val="0"/>
              <w:jc w:val="both"/>
              <w:rPr>
                <w:rFonts w:ascii="宋体" w:hAnsi="宋体" w:eastAsia="宋体" w:cs="宋体"/>
                <w:b/>
                <w:sz w:val="24"/>
                <w:szCs w:val="24"/>
              </w:rPr>
            </w:pPr>
          </w:p>
        </w:tc>
        <w:tc>
          <w:tcPr>
            <w:tcW w:w="1268" w:type="dxa"/>
            <w:noWrap w:val="0"/>
            <w:vAlign w:val="center"/>
          </w:tcPr>
          <w:p>
            <w:pPr>
              <w:widowControl w:val="0"/>
              <w:jc w:val="center"/>
              <w:rPr>
                <w:rFonts w:ascii="宋体" w:hAnsi="宋体" w:eastAsia="宋体" w:cs="宋体"/>
                <w:b/>
                <w:sz w:val="24"/>
                <w:szCs w:val="24"/>
              </w:rPr>
            </w:pPr>
          </w:p>
        </w:tc>
        <w:tc>
          <w:tcPr>
            <w:tcW w:w="1200" w:type="dxa"/>
            <w:noWrap w:val="0"/>
            <w:vAlign w:val="center"/>
          </w:tcPr>
          <w:p>
            <w:pPr>
              <w:widowControl w:val="0"/>
              <w:jc w:val="center"/>
              <w:rPr>
                <w:rFonts w:ascii="宋体" w:hAnsi="宋体" w:eastAsia="宋体" w:cs="宋体"/>
                <w:b/>
                <w:sz w:val="24"/>
                <w:szCs w:val="24"/>
              </w:rPr>
            </w:pPr>
          </w:p>
        </w:tc>
        <w:tc>
          <w:tcPr>
            <w:tcW w:w="4617" w:type="dxa"/>
            <w:gridSpan w:val="2"/>
            <w:noWrap w:val="0"/>
            <w:vAlign w:val="center"/>
          </w:tcPr>
          <w:p>
            <w:pPr>
              <w:widowControl w:val="0"/>
              <w:jc w:val="left"/>
              <w:rPr>
                <w:rFonts w:hint="default" w:ascii="宋体" w:hAnsi="宋体" w:cs="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shd w:val="clear" w:color="auto" w:fill="FFFFFF"/>
            <w:noWrap w:val="0"/>
            <w:vAlign w:val="center"/>
          </w:tcPr>
          <w:p>
            <w:pPr>
              <w:widowControl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822"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氩弧焊机</w:t>
            </w:r>
          </w:p>
        </w:tc>
        <w:tc>
          <w:tcPr>
            <w:tcW w:w="1478" w:type="dxa"/>
            <w:noWrap w:val="0"/>
            <w:vAlign w:val="center"/>
          </w:tcPr>
          <w:p>
            <w:pPr>
              <w:widowControl w:val="0"/>
              <w:jc w:val="center"/>
              <w:rPr>
                <w:rFonts w:hint="default" w:ascii="宋体" w:hAnsi="宋体" w:eastAsia="宋体" w:cs="宋体"/>
                <w:b/>
                <w:sz w:val="24"/>
                <w:szCs w:val="24"/>
                <w:lang w:val="en-US" w:eastAsia="zh-CN"/>
              </w:rPr>
            </w:pPr>
          </w:p>
        </w:tc>
        <w:tc>
          <w:tcPr>
            <w:tcW w:w="718"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台</w:t>
            </w:r>
          </w:p>
        </w:tc>
        <w:tc>
          <w:tcPr>
            <w:tcW w:w="709" w:type="dxa"/>
            <w:noWrap w:val="0"/>
            <w:vAlign w:val="center"/>
          </w:tcPr>
          <w:p>
            <w:pPr>
              <w:widowControl w:val="0"/>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2</w:t>
            </w:r>
          </w:p>
        </w:tc>
        <w:tc>
          <w:tcPr>
            <w:tcW w:w="1377" w:type="dxa"/>
            <w:gridSpan w:val="2"/>
            <w:noWrap w:val="0"/>
            <w:vAlign w:val="center"/>
          </w:tcPr>
          <w:p>
            <w:pPr>
              <w:widowControl w:val="0"/>
              <w:jc w:val="both"/>
              <w:rPr>
                <w:rFonts w:ascii="宋体" w:hAnsi="宋体" w:eastAsia="宋体" w:cs="宋体"/>
                <w:b/>
                <w:sz w:val="24"/>
                <w:szCs w:val="24"/>
              </w:rPr>
            </w:pPr>
          </w:p>
        </w:tc>
        <w:tc>
          <w:tcPr>
            <w:tcW w:w="1268" w:type="dxa"/>
            <w:noWrap w:val="0"/>
            <w:vAlign w:val="center"/>
          </w:tcPr>
          <w:p>
            <w:pPr>
              <w:widowControl w:val="0"/>
              <w:jc w:val="center"/>
              <w:rPr>
                <w:rFonts w:ascii="宋体" w:hAnsi="宋体" w:eastAsia="宋体" w:cs="宋体"/>
                <w:b/>
                <w:sz w:val="24"/>
                <w:szCs w:val="24"/>
              </w:rPr>
            </w:pPr>
          </w:p>
        </w:tc>
        <w:tc>
          <w:tcPr>
            <w:tcW w:w="1200" w:type="dxa"/>
            <w:noWrap w:val="0"/>
            <w:vAlign w:val="center"/>
          </w:tcPr>
          <w:p>
            <w:pPr>
              <w:widowControl w:val="0"/>
              <w:jc w:val="center"/>
              <w:rPr>
                <w:rFonts w:ascii="宋体" w:hAnsi="宋体" w:eastAsia="宋体" w:cs="宋体"/>
                <w:b/>
                <w:sz w:val="24"/>
                <w:szCs w:val="24"/>
              </w:rPr>
            </w:pPr>
          </w:p>
        </w:tc>
        <w:tc>
          <w:tcPr>
            <w:tcW w:w="4617" w:type="dxa"/>
            <w:gridSpan w:val="2"/>
            <w:noWrap w:val="0"/>
            <w:vAlign w:val="center"/>
          </w:tcPr>
          <w:p>
            <w:pPr>
              <w:widowControl w:val="0"/>
              <w:jc w:val="left"/>
              <w:rPr>
                <w:rFonts w:hint="default" w:ascii="宋体" w:hAnsi="宋体" w:cs="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shd w:val="clear" w:color="auto" w:fill="FFFFFF"/>
            <w:noWrap w:val="0"/>
            <w:vAlign w:val="center"/>
          </w:tcPr>
          <w:p>
            <w:pPr>
              <w:widowControl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822"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电动套丝机</w:t>
            </w:r>
          </w:p>
        </w:tc>
        <w:tc>
          <w:tcPr>
            <w:tcW w:w="1478" w:type="dxa"/>
            <w:noWrap w:val="0"/>
            <w:vAlign w:val="center"/>
          </w:tcPr>
          <w:p>
            <w:pPr>
              <w:widowControl w:val="0"/>
              <w:jc w:val="center"/>
              <w:rPr>
                <w:rFonts w:hint="default" w:ascii="宋体" w:hAnsi="宋体" w:eastAsia="宋体" w:cs="宋体"/>
                <w:b/>
                <w:sz w:val="24"/>
                <w:szCs w:val="24"/>
                <w:lang w:val="en-US" w:eastAsia="zh-CN"/>
              </w:rPr>
            </w:pPr>
          </w:p>
        </w:tc>
        <w:tc>
          <w:tcPr>
            <w:tcW w:w="718"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套</w:t>
            </w:r>
          </w:p>
        </w:tc>
        <w:tc>
          <w:tcPr>
            <w:tcW w:w="709" w:type="dxa"/>
            <w:noWrap w:val="0"/>
            <w:vAlign w:val="center"/>
          </w:tcPr>
          <w:p>
            <w:pPr>
              <w:widowControl w:val="0"/>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1</w:t>
            </w:r>
          </w:p>
        </w:tc>
        <w:tc>
          <w:tcPr>
            <w:tcW w:w="1377" w:type="dxa"/>
            <w:gridSpan w:val="2"/>
            <w:noWrap w:val="0"/>
            <w:vAlign w:val="center"/>
          </w:tcPr>
          <w:p>
            <w:pPr>
              <w:widowControl w:val="0"/>
              <w:jc w:val="both"/>
              <w:rPr>
                <w:rFonts w:ascii="宋体" w:hAnsi="宋体" w:eastAsia="宋体" w:cs="宋体"/>
                <w:b/>
                <w:sz w:val="24"/>
                <w:szCs w:val="24"/>
              </w:rPr>
            </w:pPr>
          </w:p>
        </w:tc>
        <w:tc>
          <w:tcPr>
            <w:tcW w:w="1268" w:type="dxa"/>
            <w:noWrap w:val="0"/>
            <w:vAlign w:val="center"/>
          </w:tcPr>
          <w:p>
            <w:pPr>
              <w:widowControl w:val="0"/>
              <w:jc w:val="center"/>
              <w:rPr>
                <w:rFonts w:ascii="宋体" w:hAnsi="宋体" w:eastAsia="宋体" w:cs="宋体"/>
                <w:b/>
                <w:sz w:val="24"/>
                <w:szCs w:val="24"/>
              </w:rPr>
            </w:pPr>
          </w:p>
        </w:tc>
        <w:tc>
          <w:tcPr>
            <w:tcW w:w="1200" w:type="dxa"/>
            <w:noWrap w:val="0"/>
            <w:vAlign w:val="center"/>
          </w:tcPr>
          <w:p>
            <w:pPr>
              <w:widowControl w:val="0"/>
              <w:jc w:val="center"/>
              <w:rPr>
                <w:rFonts w:ascii="宋体" w:hAnsi="宋体" w:eastAsia="宋体" w:cs="宋体"/>
                <w:b/>
                <w:sz w:val="24"/>
                <w:szCs w:val="24"/>
              </w:rPr>
            </w:pPr>
          </w:p>
        </w:tc>
        <w:tc>
          <w:tcPr>
            <w:tcW w:w="4617" w:type="dxa"/>
            <w:gridSpan w:val="2"/>
            <w:noWrap w:val="0"/>
            <w:vAlign w:val="center"/>
          </w:tcPr>
          <w:p>
            <w:pPr>
              <w:widowControl w:val="0"/>
              <w:jc w:val="left"/>
              <w:rPr>
                <w:rFonts w:hint="default" w:ascii="宋体" w:hAnsi="宋体" w:cs="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shd w:val="clear" w:color="auto" w:fill="FFFFFF"/>
            <w:noWrap w:val="0"/>
            <w:vAlign w:val="center"/>
          </w:tcPr>
          <w:p>
            <w:pPr>
              <w:widowControl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822"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双桶型滤油机</w:t>
            </w:r>
          </w:p>
        </w:tc>
        <w:tc>
          <w:tcPr>
            <w:tcW w:w="1478" w:type="dxa"/>
            <w:noWrap w:val="0"/>
            <w:vAlign w:val="center"/>
          </w:tcPr>
          <w:p>
            <w:pPr>
              <w:widowControl w:val="0"/>
              <w:jc w:val="center"/>
              <w:rPr>
                <w:rFonts w:hint="default" w:ascii="宋体" w:hAnsi="宋体" w:eastAsia="宋体" w:cs="宋体"/>
                <w:b/>
                <w:sz w:val="24"/>
                <w:szCs w:val="24"/>
                <w:lang w:val="en-US" w:eastAsia="zh-CN"/>
              </w:rPr>
            </w:pPr>
          </w:p>
        </w:tc>
        <w:tc>
          <w:tcPr>
            <w:tcW w:w="718"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台</w:t>
            </w:r>
          </w:p>
        </w:tc>
        <w:tc>
          <w:tcPr>
            <w:tcW w:w="709" w:type="dxa"/>
            <w:noWrap w:val="0"/>
            <w:vAlign w:val="center"/>
          </w:tcPr>
          <w:p>
            <w:pPr>
              <w:widowControl w:val="0"/>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1</w:t>
            </w:r>
          </w:p>
        </w:tc>
        <w:tc>
          <w:tcPr>
            <w:tcW w:w="1377" w:type="dxa"/>
            <w:gridSpan w:val="2"/>
            <w:noWrap w:val="0"/>
            <w:vAlign w:val="center"/>
          </w:tcPr>
          <w:p>
            <w:pPr>
              <w:widowControl w:val="0"/>
              <w:jc w:val="both"/>
              <w:rPr>
                <w:rFonts w:ascii="宋体" w:hAnsi="宋体" w:eastAsia="宋体" w:cs="宋体"/>
                <w:b/>
                <w:sz w:val="24"/>
                <w:szCs w:val="24"/>
              </w:rPr>
            </w:pPr>
          </w:p>
        </w:tc>
        <w:tc>
          <w:tcPr>
            <w:tcW w:w="1268" w:type="dxa"/>
            <w:noWrap w:val="0"/>
            <w:vAlign w:val="center"/>
          </w:tcPr>
          <w:p>
            <w:pPr>
              <w:widowControl w:val="0"/>
              <w:jc w:val="center"/>
              <w:rPr>
                <w:rFonts w:ascii="宋体" w:hAnsi="宋体" w:eastAsia="宋体" w:cs="宋体"/>
                <w:b/>
                <w:sz w:val="24"/>
                <w:szCs w:val="24"/>
              </w:rPr>
            </w:pPr>
          </w:p>
        </w:tc>
        <w:tc>
          <w:tcPr>
            <w:tcW w:w="1200" w:type="dxa"/>
            <w:noWrap w:val="0"/>
            <w:vAlign w:val="center"/>
          </w:tcPr>
          <w:p>
            <w:pPr>
              <w:widowControl w:val="0"/>
              <w:jc w:val="center"/>
              <w:rPr>
                <w:rFonts w:ascii="宋体" w:hAnsi="宋体" w:eastAsia="宋体" w:cs="宋体"/>
                <w:b/>
                <w:sz w:val="24"/>
                <w:szCs w:val="24"/>
              </w:rPr>
            </w:pPr>
          </w:p>
        </w:tc>
        <w:tc>
          <w:tcPr>
            <w:tcW w:w="4617" w:type="dxa"/>
            <w:gridSpan w:val="2"/>
            <w:noWrap w:val="0"/>
            <w:vAlign w:val="center"/>
          </w:tcPr>
          <w:p>
            <w:pPr>
              <w:widowControl w:val="0"/>
              <w:jc w:val="left"/>
              <w:rPr>
                <w:rFonts w:hint="default" w:ascii="宋体" w:hAnsi="宋体" w:cs="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shd w:val="clear" w:color="auto" w:fill="FFFFFF"/>
            <w:noWrap w:val="0"/>
            <w:vAlign w:val="center"/>
          </w:tcPr>
          <w:p>
            <w:pPr>
              <w:widowControl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822"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台式钻床</w:t>
            </w:r>
          </w:p>
        </w:tc>
        <w:tc>
          <w:tcPr>
            <w:tcW w:w="1478" w:type="dxa"/>
            <w:noWrap w:val="0"/>
            <w:vAlign w:val="center"/>
          </w:tcPr>
          <w:p>
            <w:pPr>
              <w:widowControl w:val="0"/>
              <w:jc w:val="center"/>
              <w:rPr>
                <w:rFonts w:hint="default" w:ascii="宋体" w:hAnsi="宋体" w:eastAsia="宋体" w:cs="宋体"/>
                <w:b/>
                <w:sz w:val="24"/>
                <w:szCs w:val="24"/>
                <w:lang w:val="en-US" w:eastAsia="zh-CN"/>
              </w:rPr>
            </w:pPr>
          </w:p>
        </w:tc>
        <w:tc>
          <w:tcPr>
            <w:tcW w:w="718"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台</w:t>
            </w:r>
          </w:p>
        </w:tc>
        <w:tc>
          <w:tcPr>
            <w:tcW w:w="709" w:type="dxa"/>
            <w:noWrap w:val="0"/>
            <w:vAlign w:val="center"/>
          </w:tcPr>
          <w:p>
            <w:pPr>
              <w:widowControl w:val="0"/>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1</w:t>
            </w:r>
          </w:p>
        </w:tc>
        <w:tc>
          <w:tcPr>
            <w:tcW w:w="1377" w:type="dxa"/>
            <w:gridSpan w:val="2"/>
            <w:noWrap w:val="0"/>
            <w:vAlign w:val="center"/>
          </w:tcPr>
          <w:p>
            <w:pPr>
              <w:widowControl w:val="0"/>
              <w:jc w:val="both"/>
              <w:rPr>
                <w:rFonts w:ascii="宋体" w:hAnsi="宋体" w:eastAsia="宋体" w:cs="宋体"/>
                <w:b/>
                <w:sz w:val="24"/>
                <w:szCs w:val="24"/>
              </w:rPr>
            </w:pPr>
          </w:p>
        </w:tc>
        <w:tc>
          <w:tcPr>
            <w:tcW w:w="1268" w:type="dxa"/>
            <w:noWrap w:val="0"/>
            <w:vAlign w:val="center"/>
          </w:tcPr>
          <w:p>
            <w:pPr>
              <w:widowControl w:val="0"/>
              <w:jc w:val="center"/>
              <w:rPr>
                <w:rFonts w:ascii="宋体" w:hAnsi="宋体" w:eastAsia="宋体" w:cs="宋体"/>
                <w:b/>
                <w:sz w:val="24"/>
                <w:szCs w:val="24"/>
              </w:rPr>
            </w:pPr>
          </w:p>
        </w:tc>
        <w:tc>
          <w:tcPr>
            <w:tcW w:w="1200" w:type="dxa"/>
            <w:noWrap w:val="0"/>
            <w:vAlign w:val="center"/>
          </w:tcPr>
          <w:p>
            <w:pPr>
              <w:widowControl w:val="0"/>
              <w:jc w:val="center"/>
              <w:rPr>
                <w:rFonts w:ascii="宋体" w:hAnsi="宋体" w:eastAsia="宋体" w:cs="宋体"/>
                <w:b/>
                <w:sz w:val="24"/>
                <w:szCs w:val="24"/>
              </w:rPr>
            </w:pPr>
          </w:p>
        </w:tc>
        <w:tc>
          <w:tcPr>
            <w:tcW w:w="4617" w:type="dxa"/>
            <w:gridSpan w:val="2"/>
            <w:noWrap w:val="0"/>
            <w:vAlign w:val="center"/>
          </w:tcPr>
          <w:p>
            <w:pPr>
              <w:widowControl w:val="0"/>
              <w:jc w:val="left"/>
              <w:rPr>
                <w:rFonts w:hint="default" w:ascii="宋体" w:hAnsi="宋体" w:cs="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68" w:type="dxa"/>
            <w:shd w:val="clear" w:color="auto" w:fill="FFFFFF"/>
            <w:noWrap w:val="0"/>
            <w:vAlign w:val="center"/>
          </w:tcPr>
          <w:p>
            <w:pPr>
              <w:widowControl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6104" w:type="dxa"/>
            <w:gridSpan w:val="6"/>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总价</w:t>
            </w:r>
          </w:p>
        </w:tc>
        <w:tc>
          <w:tcPr>
            <w:tcW w:w="7085" w:type="dxa"/>
            <w:gridSpan w:val="4"/>
            <w:noWrap w:val="0"/>
            <w:vAlign w:val="center"/>
          </w:tcPr>
          <w:p>
            <w:pPr>
              <w:widowControl w:val="0"/>
              <w:jc w:val="left"/>
              <w:rPr>
                <w:rFonts w:hint="default" w:ascii="宋体" w:hAnsi="宋体" w:cs="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3957" w:type="dxa"/>
            <w:gridSpan w:val="11"/>
            <w:shd w:val="clear" w:color="auto" w:fill="FFFFFF"/>
            <w:noWrap w:val="0"/>
            <w:vAlign w:val="center"/>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说明：1、此报价表中带 ＊ 号为必填项；税率栏填写时要具体明确税率且为增值税专</w:t>
            </w:r>
            <w:r>
              <w:rPr>
                <w:rFonts w:hint="eastAsia" w:ascii="仿宋_GB2312" w:hAnsi="仿宋_GB2312" w:eastAsia="仿宋_GB2312" w:cs="仿宋_GB2312"/>
                <w:sz w:val="24"/>
                <w:szCs w:val="24"/>
                <w:lang w:eastAsia="zh-CN"/>
              </w:rPr>
              <w:t>用</w:t>
            </w:r>
            <w:r>
              <w:rPr>
                <w:rFonts w:hint="eastAsia" w:ascii="仿宋_GB2312" w:hAnsi="仿宋_GB2312" w:eastAsia="仿宋_GB2312" w:cs="仿宋_GB2312"/>
                <w:sz w:val="24"/>
                <w:szCs w:val="24"/>
              </w:rPr>
              <w:t>发票；</w:t>
            </w:r>
          </w:p>
          <w:p>
            <w:pPr>
              <w:spacing w:line="360" w:lineRule="auto"/>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、报价均为含税（税率必须注明）、含运费</w:t>
            </w:r>
            <w:r>
              <w:rPr>
                <w:rFonts w:hint="eastAsia" w:ascii="仿宋_GB2312" w:hAnsi="仿宋_GB2312" w:eastAsia="仿宋_GB2312" w:cs="仿宋_GB2312"/>
                <w:sz w:val="24"/>
                <w:szCs w:val="24"/>
                <w:lang w:eastAsia="zh-CN"/>
              </w:rPr>
              <w:t>（送铜陵市指定地点）、含包装费（出口标准包装）</w:t>
            </w:r>
            <w:r>
              <w:rPr>
                <w:rFonts w:hint="eastAsia" w:ascii="仿宋_GB2312" w:hAnsi="仿宋_GB2312" w:eastAsia="仿宋_GB2312" w:cs="仿宋_GB2312"/>
                <w:sz w:val="24"/>
                <w:szCs w:val="24"/>
              </w:rPr>
              <w:t>；</w:t>
            </w:r>
          </w:p>
          <w:p>
            <w:pPr>
              <w:widowControl w:val="0"/>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、如有疑问，请与章浩（18705628595）联系。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60" w:type="dxa"/>
            <w:gridSpan w:val="6"/>
            <w:vMerge w:val="restart"/>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投标人单位（公章）</w:t>
            </w:r>
          </w:p>
        </w:tc>
        <w:tc>
          <w:tcPr>
            <w:tcW w:w="3825" w:type="dxa"/>
            <w:gridSpan w:val="4"/>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法定代表人或授权代理人</w:t>
            </w:r>
          </w:p>
        </w:tc>
        <w:tc>
          <w:tcPr>
            <w:tcW w:w="3372" w:type="dxa"/>
            <w:shd w:val="clear" w:color="auto" w:fill="FFFFFF"/>
            <w:noWrap w:val="0"/>
            <w:vAlign w:val="center"/>
          </w:tcPr>
          <w:p>
            <w:pPr>
              <w:widowControl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760" w:type="dxa"/>
            <w:gridSpan w:val="6"/>
            <w:vMerge w:val="continue"/>
            <w:shd w:val="clear" w:color="auto" w:fill="FFFFFF"/>
            <w:noWrap w:val="0"/>
            <w:vAlign w:val="center"/>
          </w:tcPr>
          <w:p>
            <w:pPr>
              <w:widowControl w:val="0"/>
              <w:rPr>
                <w:rFonts w:ascii="仿宋_GB2312" w:hAnsi="仿宋_GB2312" w:eastAsia="仿宋_GB2312" w:cs="仿宋_GB2312"/>
                <w:sz w:val="24"/>
                <w:szCs w:val="24"/>
              </w:rPr>
            </w:pPr>
          </w:p>
        </w:tc>
        <w:tc>
          <w:tcPr>
            <w:tcW w:w="3825" w:type="dxa"/>
            <w:gridSpan w:val="4"/>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3372" w:type="dxa"/>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电话：</w:t>
            </w:r>
          </w:p>
        </w:tc>
      </w:tr>
    </w:tbl>
    <w:p>
      <w:pPr>
        <w:spacing w:line="600" w:lineRule="exact"/>
        <w:rPr>
          <w:rFonts w:ascii="仿宋" w:hAnsi="仿宋" w:eastAsia="仿宋" w:cs="仿宋_GB2312"/>
          <w:sz w:val="15"/>
          <w:szCs w:val="15"/>
          <w:u w:val="single"/>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u w:val="single"/>
      </w:rPr>
    </w:pPr>
    <w:r>
      <w:rPr>
        <w:rFonts w:hint="eastAsia"/>
        <w:u w:val="single"/>
      </w:rPr>
      <w:t xml:space="preserve">                                                                 　　　         </w:t>
    </w:r>
    <w:r>
      <w:rPr>
        <w:u w:val="single"/>
      </w:rPr>
      <w:t xml:space="preserve"> </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5774"/>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0EC"/>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1AE6"/>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074366"/>
    <w:rsid w:val="012779E4"/>
    <w:rsid w:val="01AF2C21"/>
    <w:rsid w:val="048A48C3"/>
    <w:rsid w:val="05BF33B5"/>
    <w:rsid w:val="06463E57"/>
    <w:rsid w:val="076152CC"/>
    <w:rsid w:val="07EA20AB"/>
    <w:rsid w:val="0A5C7401"/>
    <w:rsid w:val="0B2B537E"/>
    <w:rsid w:val="0B433A3A"/>
    <w:rsid w:val="0C5B788A"/>
    <w:rsid w:val="0C6241B2"/>
    <w:rsid w:val="0D2B4E23"/>
    <w:rsid w:val="0E876D2F"/>
    <w:rsid w:val="0EC82FD7"/>
    <w:rsid w:val="0EEA79E8"/>
    <w:rsid w:val="0F4F432A"/>
    <w:rsid w:val="0F791AC7"/>
    <w:rsid w:val="0F884C6E"/>
    <w:rsid w:val="10181623"/>
    <w:rsid w:val="10787720"/>
    <w:rsid w:val="10BD1543"/>
    <w:rsid w:val="12A820AD"/>
    <w:rsid w:val="144B0F7F"/>
    <w:rsid w:val="17652D76"/>
    <w:rsid w:val="17D86D23"/>
    <w:rsid w:val="18600EC2"/>
    <w:rsid w:val="18AF15FD"/>
    <w:rsid w:val="1B59783C"/>
    <w:rsid w:val="1BBF797C"/>
    <w:rsid w:val="1DEE2CCA"/>
    <w:rsid w:val="1F4E5E6E"/>
    <w:rsid w:val="1F5D3E3C"/>
    <w:rsid w:val="2037683E"/>
    <w:rsid w:val="21F90650"/>
    <w:rsid w:val="223E7710"/>
    <w:rsid w:val="241E2A12"/>
    <w:rsid w:val="25590EC9"/>
    <w:rsid w:val="26A26CEB"/>
    <w:rsid w:val="27BF0464"/>
    <w:rsid w:val="286F41F9"/>
    <w:rsid w:val="299D4A4C"/>
    <w:rsid w:val="2A1902C2"/>
    <w:rsid w:val="2A3B68FB"/>
    <w:rsid w:val="2AB020F1"/>
    <w:rsid w:val="2BE80223"/>
    <w:rsid w:val="2C995D0F"/>
    <w:rsid w:val="2D3E7816"/>
    <w:rsid w:val="302E3043"/>
    <w:rsid w:val="30D974B7"/>
    <w:rsid w:val="333663C1"/>
    <w:rsid w:val="336F7BD6"/>
    <w:rsid w:val="343C1399"/>
    <w:rsid w:val="34634E47"/>
    <w:rsid w:val="346848DB"/>
    <w:rsid w:val="354F3A99"/>
    <w:rsid w:val="357B16F3"/>
    <w:rsid w:val="36050FAB"/>
    <w:rsid w:val="361C4D07"/>
    <w:rsid w:val="3989643E"/>
    <w:rsid w:val="3A3173ED"/>
    <w:rsid w:val="3B076549"/>
    <w:rsid w:val="3C5B75D3"/>
    <w:rsid w:val="3C7823C8"/>
    <w:rsid w:val="3DBC2399"/>
    <w:rsid w:val="3DCC4487"/>
    <w:rsid w:val="3E474521"/>
    <w:rsid w:val="3EC82979"/>
    <w:rsid w:val="3F7C42F3"/>
    <w:rsid w:val="3FFC46FC"/>
    <w:rsid w:val="40E8754A"/>
    <w:rsid w:val="41B46B47"/>
    <w:rsid w:val="424B79E0"/>
    <w:rsid w:val="42F01550"/>
    <w:rsid w:val="434963F7"/>
    <w:rsid w:val="436C0878"/>
    <w:rsid w:val="439F612A"/>
    <w:rsid w:val="441344E9"/>
    <w:rsid w:val="44842956"/>
    <w:rsid w:val="44B922E9"/>
    <w:rsid w:val="45DC2779"/>
    <w:rsid w:val="465E02D2"/>
    <w:rsid w:val="46BC5513"/>
    <w:rsid w:val="499D4ACB"/>
    <w:rsid w:val="4E822997"/>
    <w:rsid w:val="4ED20DFA"/>
    <w:rsid w:val="4F0F5DA2"/>
    <w:rsid w:val="4F397E6D"/>
    <w:rsid w:val="4F54161A"/>
    <w:rsid w:val="504C2BE7"/>
    <w:rsid w:val="51B50E5A"/>
    <w:rsid w:val="554830C1"/>
    <w:rsid w:val="56B4262E"/>
    <w:rsid w:val="576F2EA8"/>
    <w:rsid w:val="5807041D"/>
    <w:rsid w:val="583F79D3"/>
    <w:rsid w:val="58691989"/>
    <w:rsid w:val="58F960F8"/>
    <w:rsid w:val="599F0979"/>
    <w:rsid w:val="5C1E1084"/>
    <w:rsid w:val="5C8970A8"/>
    <w:rsid w:val="5EE01EF7"/>
    <w:rsid w:val="60F035C2"/>
    <w:rsid w:val="63E45615"/>
    <w:rsid w:val="679D3A2B"/>
    <w:rsid w:val="686738F7"/>
    <w:rsid w:val="69AD4D95"/>
    <w:rsid w:val="69B54174"/>
    <w:rsid w:val="6A315ABB"/>
    <w:rsid w:val="6A660AE8"/>
    <w:rsid w:val="6A87598F"/>
    <w:rsid w:val="6D0836FD"/>
    <w:rsid w:val="6DC85CEE"/>
    <w:rsid w:val="703849D5"/>
    <w:rsid w:val="711712EF"/>
    <w:rsid w:val="74B57A97"/>
    <w:rsid w:val="74E33EE7"/>
    <w:rsid w:val="757D3977"/>
    <w:rsid w:val="77C81C4C"/>
    <w:rsid w:val="793439F5"/>
    <w:rsid w:val="796E3D99"/>
    <w:rsid w:val="79ED6ADC"/>
    <w:rsid w:val="7B8D7C88"/>
    <w:rsid w:val="7C252C88"/>
    <w:rsid w:val="7C28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Pages>
  <Words>484</Words>
  <Characters>2762</Characters>
  <Lines>23</Lines>
  <Paragraphs>6</Paragraphs>
  <TotalTime>13</TotalTime>
  <ScaleCrop>false</ScaleCrop>
  <LinksUpToDate>false</LinksUpToDate>
  <CharactersWithSpaces>3240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北北</cp:lastModifiedBy>
  <cp:lastPrinted>2019-05-06T09:43:00Z</cp:lastPrinted>
  <dcterms:modified xsi:type="dcterms:W3CDTF">2021-04-12T00:45:28Z</dcterms:modified>
  <dc:title>中华人民共和国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8B705F18C893452C91242DB4CB326A19</vt:lpwstr>
  </property>
</Properties>
</file>