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建材公司-脱模剂（二次公告）</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2107</w:t>
      </w:r>
    </w:p>
    <w:p>
      <w:pPr>
        <w:rPr>
          <w:rFonts w:hint="eastAsia" w:ascii="仿宋" w:hAnsi="仿宋" w:eastAsia="仿宋" w:cs="仿宋_GB2312"/>
          <w:b/>
          <w:bCs/>
          <w:sz w:val="32"/>
          <w:szCs w:val="32"/>
        </w:rPr>
      </w:pPr>
    </w:p>
    <w:p>
      <w:pPr>
        <w:rPr>
          <w:rFonts w:ascii="仿宋" w:hAnsi="仿宋" w:eastAsia="仿宋" w:cs="仿宋_GB2312"/>
          <w:b/>
          <w:bCs/>
          <w:sz w:val="32"/>
          <w:szCs w:val="32"/>
          <w:highlight w:val="none"/>
          <w:u w:val="single"/>
        </w:rPr>
      </w:pPr>
      <w:r>
        <w:rPr>
          <w:rFonts w:hint="eastAsia" w:ascii="仿宋" w:hAnsi="仿宋" w:eastAsia="仿宋" w:cs="仿宋_GB2312"/>
          <w:b/>
          <w:bCs/>
          <w:sz w:val="32"/>
          <w:szCs w:val="32"/>
        </w:rPr>
        <w:t>招</w:t>
      </w:r>
      <w:r>
        <w:rPr>
          <w:rFonts w:hint="eastAsia" w:ascii="仿宋" w:hAnsi="仿宋" w:eastAsia="仿宋" w:cs="仿宋_GB2312"/>
          <w:b/>
          <w:bCs/>
          <w:sz w:val="32"/>
          <w:szCs w:val="32"/>
          <w:highlight w:val="none"/>
        </w:rPr>
        <w:t>标公告发布日期：</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21</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03</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03</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朱期庆</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13956246567</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w:t>
      </w: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w:t>
      </w:r>
      <w:r>
        <w:rPr>
          <w:rFonts w:hint="eastAsia" w:ascii="仿宋" w:hAnsi="仿宋" w:eastAsia="仿宋" w:cs="仿宋_GB2312"/>
          <w:sz w:val="28"/>
          <w:szCs w:val="28"/>
          <w:highlight w:val="none"/>
        </w:rPr>
        <w:t>止时间：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03月10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5、开标时</w:t>
      </w:r>
      <w:r>
        <w:rPr>
          <w:rFonts w:hint="eastAsia" w:ascii="仿宋" w:hAnsi="仿宋" w:eastAsia="仿宋" w:cs="仿宋_GB2312"/>
          <w:sz w:val="28"/>
          <w:szCs w:val="28"/>
          <w:highlight w:val="none"/>
        </w:rPr>
        <w:t>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的具体内容如下</w:t>
      </w:r>
      <w:r>
        <w:rPr>
          <w:rFonts w:hint="eastAsia" w:ascii="仿宋" w:hAnsi="仿宋" w:eastAsia="仿宋" w:cs="仿宋_GB2312"/>
          <w:sz w:val="28"/>
          <w:szCs w:val="28"/>
          <w:u w:val="single"/>
        </w:rPr>
        <w:t>（详见报价单）：</w:t>
      </w:r>
    </w:p>
    <w:p>
      <w:pPr>
        <w:numPr>
          <w:ilvl w:val="0"/>
          <w:numId w:val="2"/>
        </w:numPr>
        <w:ind w:left="1543" w:leftChars="0" w:firstLine="0" w:firstLineChars="0"/>
        <w:rPr>
          <w:rFonts w:hint="default" w:ascii="仿宋" w:hAnsi="仿宋" w:eastAsia="仿宋" w:cs="仿宋_GB2312"/>
          <w:b/>
          <w:bCs/>
          <w:i w:val="0"/>
          <w:iCs w:val="0"/>
          <w:sz w:val="28"/>
          <w:szCs w:val="28"/>
          <w:u w:val="single"/>
          <w:lang w:val="en-US" w:eastAsia="zh-CN"/>
        </w:rPr>
      </w:pPr>
      <w:r>
        <w:rPr>
          <w:rFonts w:hint="eastAsia" w:ascii="仿宋" w:hAnsi="仿宋" w:eastAsia="仿宋" w:cs="仿宋_GB2312"/>
          <w:b/>
          <w:bCs/>
          <w:i w:val="0"/>
          <w:iCs w:val="0"/>
          <w:sz w:val="28"/>
          <w:szCs w:val="28"/>
          <w:u w:val="single"/>
          <w:lang w:val="en-US" w:eastAsia="zh-CN"/>
        </w:rPr>
        <w:t>脱模剂  90吨。</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_GB2312" w:cs="仿宋_GB2312"/>
          <w:sz w:val="28"/>
          <w:szCs w:val="28"/>
          <w:lang w:eastAsia="zh-CN"/>
        </w:rPr>
      </w:pPr>
      <w:r>
        <w:rPr>
          <w:rFonts w:hint="eastAsia" w:ascii="仿宋" w:hAnsi="仿宋" w:eastAsia="仿宋" w:cs="仿宋_GB2312"/>
          <w:sz w:val="28"/>
          <w:szCs w:val="28"/>
        </w:rPr>
        <w:t>2、</w:t>
      </w:r>
      <w:r>
        <w:rPr>
          <w:rFonts w:hint="eastAsia" w:ascii="仿宋_GB2312" w:hAnsi="仿宋_GB2312" w:eastAsia="仿宋_GB2312" w:cs="仿宋_GB2312"/>
          <w:sz w:val="28"/>
          <w:szCs w:val="28"/>
        </w:rPr>
        <w:t>投标人须为</w:t>
      </w:r>
      <w:r>
        <w:rPr>
          <w:rFonts w:hint="eastAsia" w:ascii="仿宋_GB2312" w:hAnsi="仿宋_GB2312" w:eastAsia="仿宋_GB2312" w:cs="仿宋_GB2312"/>
          <w:b/>
          <w:bCs/>
          <w:sz w:val="28"/>
          <w:szCs w:val="28"/>
        </w:rPr>
        <w:t>一般纳税人</w:t>
      </w:r>
      <w:r>
        <w:rPr>
          <w:rFonts w:hint="eastAsia" w:ascii="仿宋_GB2312" w:hAnsi="仿宋_GB2312" w:eastAsia="仿宋_GB2312" w:cs="仿宋_GB2312"/>
          <w:sz w:val="28"/>
          <w:szCs w:val="28"/>
          <w:lang w:eastAsia="zh-CN"/>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各投标人需在开标之前至铜陵有色建安公司报名。</w:t>
      </w:r>
    </w:p>
    <w:p>
      <w:pPr>
        <w:numPr>
          <w:ilvl w:val="0"/>
          <w:numId w:val="0"/>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w:t>
      </w:r>
      <w:r>
        <w:rPr>
          <w:rFonts w:hint="eastAsia" w:ascii="仿宋_GB2312" w:hAnsi="仿宋_GB2312" w:eastAsia="仿宋_GB2312" w:cs="仿宋_GB2312"/>
          <w:sz w:val="28"/>
          <w:szCs w:val="28"/>
          <w:highlight w:val="none"/>
        </w:rPr>
        <w:t>发布之日起至</w:t>
      </w:r>
      <w:r>
        <w:rPr>
          <w:rFonts w:hint="eastAsia" w:ascii="仿宋_GB2312" w:hAnsi="仿宋_GB2312" w:eastAsia="仿宋_GB2312" w:cs="仿宋_GB2312"/>
          <w:sz w:val="28"/>
          <w:szCs w:val="28"/>
          <w:highlight w:val="none"/>
          <w:u w:val="single"/>
        </w:rPr>
        <w:t>202</w:t>
      </w:r>
      <w:r>
        <w:rPr>
          <w:rFonts w:hint="eastAsia" w:ascii="仿宋_GB2312" w:hAnsi="仿宋_GB2312" w:eastAsia="仿宋_GB2312" w:cs="仿宋_GB2312"/>
          <w:sz w:val="28"/>
          <w:szCs w:val="28"/>
          <w:highlight w:val="none"/>
          <w:u w:val="single"/>
          <w:lang w:val="en-US" w:eastAsia="zh-CN"/>
        </w:rPr>
        <w:t>1</w:t>
      </w:r>
      <w:r>
        <w:rPr>
          <w:rFonts w:hint="eastAsia" w:ascii="仿宋_GB2312" w:hAnsi="仿宋_GB2312" w:eastAsia="仿宋_GB2312" w:cs="仿宋_GB2312"/>
          <w:sz w:val="28"/>
          <w:szCs w:val="28"/>
          <w:highlight w:val="none"/>
          <w:u w:val="single"/>
        </w:rPr>
        <w:t>年</w:t>
      </w:r>
      <w:r>
        <w:rPr>
          <w:rFonts w:hint="eastAsia" w:ascii="仿宋_GB2312" w:hAnsi="仿宋_GB2312" w:eastAsia="仿宋_GB2312" w:cs="仿宋_GB2312"/>
          <w:sz w:val="28"/>
          <w:szCs w:val="28"/>
          <w:highlight w:val="none"/>
          <w:u w:val="single"/>
          <w:lang w:val="en-US" w:eastAsia="zh-CN"/>
        </w:rPr>
        <w:t>03</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09</w:t>
      </w:r>
      <w:r>
        <w:rPr>
          <w:rFonts w:hint="eastAsia" w:ascii="仿宋_GB2312" w:hAnsi="仿宋_GB2312" w:eastAsia="仿宋_GB2312" w:cs="仿宋_GB2312"/>
          <w:sz w:val="28"/>
          <w:szCs w:val="28"/>
          <w:highlight w:val="none"/>
          <w:u w:val="single"/>
        </w:rPr>
        <w:t>日17:30止</w:t>
      </w:r>
      <w:r>
        <w:rPr>
          <w:rFonts w:hint="eastAsia" w:ascii="仿宋_GB2312" w:hAnsi="仿宋_GB2312" w:eastAsia="仿宋_GB2312" w:cs="仿宋_GB2312"/>
          <w:sz w:val="28"/>
          <w:szCs w:val="28"/>
          <w:highlight w:val="non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 w:hAnsi="仿宋" w:eastAsia="仿宋" w:cs="仿宋_GB2312"/>
          <w:b/>
          <w:sz w:val="36"/>
          <w:szCs w:val="36"/>
          <w:lang w:eastAsia="zh-CN"/>
        </w:rPr>
      </w:pPr>
    </w:p>
    <w:p>
      <w:pPr>
        <w:jc w:val="center"/>
        <w:rPr>
          <w:rFonts w:hint="eastAsia" w:ascii="仿宋_GB2312" w:hAnsi="宋体" w:eastAsia="仿宋_GB2312" w:cs="仿宋_GB2312"/>
          <w:b/>
          <w:sz w:val="36"/>
          <w:szCs w:val="36"/>
        </w:rPr>
      </w:pPr>
    </w:p>
    <w:p>
      <w:pPr>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jc w:val="center"/>
        <w:rPr>
          <w:rFonts w:hint="eastAsia" w:ascii="仿宋_GB2312" w:hAnsi="宋体" w:eastAsia="仿宋_GB2312" w:cs="仿宋_GB2312"/>
          <w:b/>
          <w:sz w:val="36"/>
          <w:szCs w:val="36"/>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1、为严肃和规范投标行为，确保投标的顺利以及中标后合同的有效执行，投标人须向招标人交纳投标保证金</w:t>
      </w:r>
      <w:r>
        <w:rPr>
          <w:rFonts w:hint="eastAsia" w:ascii="仿宋_GB2312" w:hAnsi="仿宋_GB2312" w:eastAsia="仿宋_GB2312" w:cs="仿宋_GB2312"/>
          <w:b/>
          <w:bCs/>
          <w:sz w:val="28"/>
          <w:szCs w:val="28"/>
          <w:u w:val="single"/>
          <w:lang w:val="en-US" w:eastAsia="zh-CN"/>
        </w:rPr>
        <w:t>贰</w:t>
      </w:r>
      <w:r>
        <w:rPr>
          <w:rFonts w:hint="eastAsia" w:ascii="仿宋_GB2312" w:hAnsi="仿宋_GB2312" w:eastAsia="仿宋_GB2312" w:cs="仿宋_GB2312"/>
          <w:b/>
          <w:bCs/>
          <w:sz w:val="28"/>
          <w:szCs w:val="28"/>
          <w:u w:val="single"/>
        </w:rPr>
        <w:t>万元</w:t>
      </w:r>
      <w:r>
        <w:rPr>
          <w:rFonts w:hint="eastAsia" w:ascii="仿宋_GB2312" w:hAnsi="仿宋_GB2312" w:eastAsia="仿宋_GB2312" w:cs="仿宋_GB2312"/>
          <w:sz w:val="28"/>
          <w:szCs w:val="28"/>
          <w:u w:val="singl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w:t>
      </w:r>
      <w:r>
        <w:rPr>
          <w:rFonts w:hint="eastAsia" w:ascii="仿宋_GB2312" w:hAnsi="仿宋_GB2312" w:eastAsia="仿宋_GB2312" w:cs="仿宋_GB2312"/>
          <w:sz w:val="28"/>
          <w:szCs w:val="28"/>
          <w:u w:val="single"/>
        </w:rPr>
        <w:t>账</w:t>
      </w:r>
      <w:r>
        <w:rPr>
          <w:rFonts w:hint="eastAsia" w:ascii="仿宋_GB2312" w:hAnsi="仿宋_GB2312" w:eastAsia="仿宋_GB2312" w:cs="仿宋_GB2312"/>
          <w:sz w:val="28"/>
          <w:szCs w:val="28"/>
        </w:rPr>
        <w:t>户转账，不接受私人账户转账，同时要求注明</w:t>
      </w:r>
      <w:bookmarkStart w:id="0" w:name="_GoBack"/>
      <w:r>
        <w:rPr>
          <w:rFonts w:hint="eastAsia" w:ascii="仿宋_GB2312" w:hAnsi="仿宋_GB2312" w:eastAsia="仿宋_GB2312" w:cs="仿宋_GB2312"/>
          <w:b/>
          <w:bCs/>
          <w:sz w:val="28"/>
          <w:szCs w:val="28"/>
          <w:u w:val="single"/>
          <w:lang w:val="en-US" w:eastAsia="zh-CN"/>
        </w:rPr>
        <w:t>建材公司脱模剂</w:t>
      </w:r>
      <w:r>
        <w:rPr>
          <w:rFonts w:hint="eastAsia" w:ascii="仿宋_GB2312" w:hAnsi="仿宋_GB2312" w:eastAsia="仿宋_GB2312" w:cs="仿宋_GB2312"/>
          <w:b/>
          <w:bCs/>
          <w:sz w:val="28"/>
          <w:szCs w:val="28"/>
          <w:u w:val="single"/>
        </w:rPr>
        <w:t>TGJA-WZ-202</w:t>
      </w:r>
      <w:r>
        <w:rPr>
          <w:rFonts w:hint="eastAsia" w:ascii="仿宋_GB2312" w:hAnsi="仿宋_GB2312" w:eastAsia="仿宋_GB2312" w:cs="仿宋_GB2312"/>
          <w:b/>
          <w:bCs/>
          <w:sz w:val="28"/>
          <w:szCs w:val="28"/>
          <w:u w:val="single"/>
          <w:lang w:val="en-US" w:eastAsia="zh-CN"/>
        </w:rPr>
        <w:t>107</w:t>
      </w:r>
      <w:bookmarkEnd w:id="0"/>
      <w:r>
        <w:rPr>
          <w:rFonts w:hint="eastAsia" w:ascii="仿宋_GB2312" w:hAnsi="仿宋_GB2312" w:eastAsia="仿宋_GB2312" w:cs="仿宋_GB2312"/>
          <w:sz w:val="28"/>
          <w:szCs w:val="28"/>
        </w:rPr>
        <w:t>投标保证金。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2、在签订合同前，中标人须提交履约保证金。</w:t>
      </w:r>
      <w:r>
        <w:rPr>
          <w:rFonts w:hint="eastAsia" w:ascii="仿宋_GB2312" w:hAnsi="仿宋_GB2312" w:eastAsia="仿宋_GB2312" w:cs="仿宋_GB2312"/>
          <w:sz w:val="28"/>
          <w:szCs w:val="28"/>
          <w:lang w:val="en-US" w:eastAsia="zh-CN"/>
        </w:rPr>
        <w:t>履约保证金金额为</w:t>
      </w:r>
      <w:r>
        <w:rPr>
          <w:rFonts w:hint="eastAsia" w:ascii="仿宋_GB2312" w:hAnsi="仿宋_GB2312" w:eastAsia="仿宋_GB2312" w:cs="仿宋_GB2312"/>
          <w:b/>
          <w:bCs/>
          <w:sz w:val="28"/>
          <w:szCs w:val="28"/>
          <w:u w:val="single"/>
          <w:lang w:val="en-US" w:eastAsia="zh-CN"/>
        </w:rPr>
        <w:t>贰万元整</w:t>
      </w:r>
      <w:r>
        <w:rPr>
          <w:rFonts w:hint="eastAsia" w:ascii="仿宋_GB2312" w:hAnsi="仿宋_GB2312" w:eastAsia="仿宋_GB2312" w:cs="仿宋_GB2312"/>
          <w:sz w:val="28"/>
          <w:szCs w:val="28"/>
          <w:lang w:val="en-US" w:eastAsia="zh-CN"/>
        </w:rPr>
        <w:t>（可将投标保证金转为履约保证金）。</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、中标人在收到中标通知书后，无正当理由拒签合同或未按招标文件规定提交履约保证金的，投标保证金将不予退还。给招标人造成的损失超过投标保证金数额的，中标人还应当对超过部分予以赔偿。同时，</w:t>
      </w:r>
      <w:r>
        <w:rPr>
          <w:rFonts w:hint="eastAsia" w:ascii="仿宋_GB2312" w:hAnsi="仿宋_GB2312" w:eastAsia="仿宋_GB2312" w:cs="仿宋_GB2312"/>
          <w:b/>
          <w:bCs/>
          <w:sz w:val="28"/>
          <w:szCs w:val="28"/>
          <w:u w:val="single"/>
        </w:rPr>
        <w:t>一年内将不允许参加我公司投标</w:t>
      </w:r>
      <w:r>
        <w:rPr>
          <w:rFonts w:hint="eastAsia" w:ascii="仿宋_GB2312" w:hAnsi="仿宋_GB2312" w:eastAsia="仿宋_GB2312" w:cs="仿宋_GB2312"/>
          <w:sz w:val="28"/>
          <w:szCs w:val="28"/>
          <w:u w:val="single"/>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、招标人与中标人签订合同后5日内，向未中标的投标人退还投标保证金，中标人在签订合同并交纳履约保证金后退还投标保证金。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、公司对公账户信息</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w:t>
      </w:r>
      <w:r>
        <w:rPr>
          <w:rFonts w:hint="eastAsia" w:ascii="仿宋" w:hAnsi="仿宋" w:eastAsia="仿宋" w:cs="仿宋_GB2312"/>
          <w:sz w:val="28"/>
          <w:szCs w:val="28"/>
          <w:highlight w:val="none"/>
        </w:rPr>
        <w:t>交的截止时间：</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03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numPr>
          <w:ilvl w:val="0"/>
          <w:numId w:val="4"/>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numPr>
          <w:ilvl w:val="0"/>
          <w:numId w:val="5"/>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材料质量要求</w:t>
      </w:r>
    </w:p>
    <w:p>
      <w:pPr>
        <w:numPr>
          <w:ilvl w:val="0"/>
          <w:numId w:val="0"/>
        </w:numPr>
        <w:ind w:firstLine="1400" w:firstLineChars="500"/>
        <w:jc w:val="left"/>
        <w:rPr>
          <w:rFonts w:hint="eastAsia" w:ascii="仿宋" w:hAnsi="仿宋" w:eastAsia="仿宋" w:cs="仿宋_GB2312"/>
          <w:b w:val="0"/>
          <w:bCs w:val="0"/>
          <w:sz w:val="28"/>
          <w:szCs w:val="28"/>
          <w:highlight w:val="none"/>
          <w:u w:val="single"/>
          <w:lang w:val="en-US" w:eastAsia="zh-CN"/>
        </w:rPr>
      </w:pPr>
      <w:r>
        <w:rPr>
          <w:rFonts w:hint="eastAsia" w:ascii="仿宋" w:hAnsi="仿宋" w:eastAsia="仿宋" w:cs="仿宋_GB2312"/>
          <w:b w:val="0"/>
          <w:bCs w:val="0"/>
          <w:sz w:val="28"/>
          <w:szCs w:val="28"/>
          <w:highlight w:val="none"/>
          <w:u w:val="single"/>
          <w:lang w:val="en-US" w:eastAsia="zh-CN"/>
        </w:rPr>
        <w:t>1）脱模剂:</w:t>
      </w:r>
    </w:p>
    <w:tbl>
      <w:tblPr>
        <w:tblStyle w:val="46"/>
        <w:tblpPr w:leftFromText="180" w:rightFromText="180" w:vertAnchor="text" w:horzAnchor="page" w:tblpX="1766"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328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59" w:type="dxa"/>
            <w:vMerge w:val="restart"/>
            <w:noWrap w:val="0"/>
            <w:vAlign w:val="center"/>
          </w:tcPr>
          <w:p>
            <w:pPr>
              <w:jc w:val="center"/>
              <w:rPr>
                <w:rFonts w:hint="default"/>
                <w:vertAlign w:val="baseline"/>
                <w:lang w:val="en-US" w:eastAsia="zh-CN"/>
              </w:rPr>
            </w:pPr>
            <w:r>
              <w:rPr>
                <w:rFonts w:hint="eastAsia"/>
                <w:vertAlign w:val="baseline"/>
                <w:lang w:val="en-US" w:eastAsia="zh-CN"/>
              </w:rPr>
              <w:t>倾点/℃</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矿油型润滑油      -48℃—-6℃</w:t>
            </w:r>
          </w:p>
        </w:tc>
        <w:tc>
          <w:tcPr>
            <w:tcW w:w="2026" w:type="dxa"/>
            <w:vMerge w:val="restart"/>
            <w:noWrap w:val="0"/>
            <w:vAlign w:val="center"/>
          </w:tcPr>
          <w:p>
            <w:pPr>
              <w:jc w:val="center"/>
              <w:rPr>
                <w:rFonts w:hint="default"/>
                <w:vertAlign w:val="baseline"/>
                <w:lang w:val="en-US" w:eastAsia="zh-CN"/>
              </w:rPr>
            </w:pPr>
            <w:r>
              <w:rPr>
                <w:rFonts w:hint="eastAsia"/>
                <w:vertAlign w:val="baseline"/>
                <w:lang w:val="en-US" w:eastAsia="zh-CN"/>
              </w:rPr>
              <w:t>GB/T 3535—2006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59" w:type="dxa"/>
            <w:vMerge w:val="continue"/>
            <w:noWrap w:val="0"/>
            <w:vAlign w:val="center"/>
          </w:tcPr>
          <w:p>
            <w:pPr>
              <w:jc w:val="center"/>
            </w:pP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燃料油            -33℃—51℃</w:t>
            </w:r>
          </w:p>
        </w:tc>
        <w:tc>
          <w:tcPr>
            <w:tcW w:w="2026" w:type="dxa"/>
            <w:vMerge w:val="continue"/>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59" w:type="dxa"/>
            <w:noWrap w:val="0"/>
            <w:vAlign w:val="center"/>
          </w:tcPr>
          <w:p>
            <w:pPr>
              <w:jc w:val="center"/>
              <w:rPr>
                <w:rFonts w:hint="default"/>
                <w:vertAlign w:val="baseline"/>
                <w:lang w:val="en-US" w:eastAsia="zh-CN"/>
              </w:rPr>
            </w:pPr>
            <w:r>
              <w:rPr>
                <w:rFonts w:hint="eastAsia"/>
                <w:vertAlign w:val="baseline"/>
                <w:lang w:val="en-US" w:eastAsia="zh-CN"/>
              </w:rPr>
              <w:t>粘度指数</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＞100</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GB/T 1995-1998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9" w:type="dxa"/>
            <w:noWrap w:val="0"/>
            <w:vAlign w:val="center"/>
          </w:tcPr>
          <w:p>
            <w:pPr>
              <w:jc w:val="center"/>
              <w:rPr>
                <w:rFonts w:hint="default"/>
                <w:vertAlign w:val="baseline"/>
                <w:lang w:val="en-US" w:eastAsia="zh-CN"/>
              </w:rPr>
            </w:pPr>
            <w:r>
              <w:rPr>
                <w:rFonts w:hint="eastAsia"/>
                <w:vertAlign w:val="baseline"/>
                <w:lang w:val="en-US" w:eastAsia="zh-CN"/>
              </w:rPr>
              <w:t>闪点（开口）/℃</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＞139</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GB/T 3536—2008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59" w:type="dxa"/>
            <w:noWrap w:val="0"/>
            <w:vAlign w:val="center"/>
          </w:tcPr>
          <w:p>
            <w:pPr>
              <w:jc w:val="center"/>
              <w:rPr>
                <w:rFonts w:hint="default"/>
                <w:vertAlign w:val="baseline"/>
                <w:lang w:val="en-US" w:eastAsia="zh-CN"/>
              </w:rPr>
            </w:pPr>
            <w:r>
              <w:rPr>
                <w:rFonts w:hint="eastAsia"/>
                <w:vertAlign w:val="baseline"/>
                <w:lang w:val="en-US" w:eastAsia="zh-CN"/>
              </w:rPr>
              <w:t>运动粘度（40℃）/（mm</w:t>
            </w:r>
            <w:r>
              <w:rPr>
                <w:rFonts w:hint="eastAsia"/>
                <w:vertAlign w:val="superscript"/>
                <w:lang w:val="en-US" w:eastAsia="zh-CN"/>
              </w:rPr>
              <w:t>2</w:t>
            </w:r>
            <w:r>
              <w:rPr>
                <w:rFonts w:hint="eastAsia"/>
                <w:vertAlign w:val="baseline"/>
                <w:lang w:val="en-US" w:eastAsia="zh-CN"/>
              </w:rPr>
              <w:t>/s）</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＞400</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 265-1988</w:t>
            </w:r>
          </w:p>
        </w:tc>
      </w:tr>
    </w:tbl>
    <w:p>
      <w:pPr>
        <w:jc w:val="both"/>
        <w:rPr>
          <w:rFonts w:hint="default"/>
          <w:lang w:val="en-US" w:eastAsia="zh-CN"/>
        </w:rPr>
      </w:pPr>
    </w:p>
    <w:p>
      <w:pPr>
        <w:jc w:val="center"/>
        <w:rPr>
          <w:rFonts w:hint="eastAsia"/>
          <w:lang w:val="en-US" w:eastAsia="zh-CN"/>
        </w:rPr>
      </w:pPr>
    </w:p>
    <w:p>
      <w:pPr>
        <w:numPr>
          <w:ilvl w:val="0"/>
          <w:numId w:val="0"/>
        </w:numPr>
        <w:jc w:val="left"/>
        <w:rPr>
          <w:rFonts w:hint="eastAsia" w:ascii="仿宋" w:hAnsi="仿宋" w:eastAsia="仿宋" w:cs="仿宋_GB2312"/>
          <w:b w:val="0"/>
          <w:bCs w:val="0"/>
          <w:sz w:val="28"/>
          <w:szCs w:val="28"/>
          <w:u w:val="single"/>
          <w:lang w:val="en-US" w:eastAsia="zh-CN"/>
        </w:rPr>
      </w:pPr>
    </w:p>
    <w:p>
      <w:pPr>
        <w:ind w:firstLine="1400" w:firstLineChars="500"/>
        <w:jc w:val="left"/>
        <w:rPr>
          <w:rFonts w:hint="eastAsia" w:ascii="仿宋" w:hAnsi="仿宋" w:eastAsia="仿宋" w:cs="仿宋_GB2312"/>
          <w:b w:val="0"/>
          <w:bCs w:val="0"/>
          <w:sz w:val="28"/>
          <w:szCs w:val="28"/>
          <w:u w:val="single"/>
          <w:lang w:val="en-US" w:eastAsia="zh-CN"/>
        </w:rPr>
      </w:pPr>
    </w:p>
    <w:p>
      <w:pPr>
        <w:jc w:val="left"/>
        <w:rPr>
          <w:rFonts w:hint="eastAsia" w:ascii="仿宋" w:hAnsi="仿宋" w:eastAsia="仿宋" w:cs="仿宋_GB2312"/>
          <w:b w:val="0"/>
          <w:bCs w:val="0"/>
          <w:sz w:val="28"/>
          <w:szCs w:val="28"/>
          <w:u w:val="single"/>
          <w:lang w:val="en-US" w:eastAsia="zh-CN"/>
        </w:rPr>
      </w:pP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638" w:firstLineChars="228"/>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2、付款方式</w:t>
      </w:r>
    </w:p>
    <w:p>
      <w:pPr>
        <w:ind w:firstLine="560" w:firstLineChars="200"/>
        <w:jc w:val="left"/>
        <w:rPr>
          <w:rFonts w:hint="eastAsia" w:ascii="仿宋" w:hAnsi="仿宋" w:eastAsia="仿宋" w:cs="仿宋_GB2312"/>
          <w:sz w:val="28"/>
          <w:szCs w:val="28"/>
          <w:highlight w:val="cyan"/>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w:t>
      </w:r>
      <w:r>
        <w:rPr>
          <w:rFonts w:hint="eastAsia" w:ascii="仿宋_GB2312" w:hAnsi="仿宋_GB2312" w:eastAsia="仿宋_GB2312" w:cs="仿宋_GB2312"/>
          <w:b/>
          <w:bCs/>
          <w:sz w:val="28"/>
          <w:szCs w:val="28"/>
          <w:u w:val="single"/>
        </w:rPr>
        <w:t>本次招标一旦中标，不得以任何理由调价</w:t>
      </w:r>
      <w:r>
        <w:rPr>
          <w:rFonts w:hint="eastAsia" w:ascii="仿宋_GB2312" w:hAnsi="仿宋_GB2312" w:eastAsia="仿宋_GB2312" w:cs="仿宋_GB2312"/>
          <w:sz w:val="28"/>
          <w:szCs w:val="28"/>
          <w:u w:val="single"/>
        </w:rPr>
        <w:t>。</w:t>
      </w:r>
      <w:r>
        <w:rPr>
          <w:rFonts w:hint="eastAsia" w:ascii="仿宋" w:hAnsi="仿宋" w:eastAsia="仿宋" w:cs="仿宋_GB2312"/>
          <w:sz w:val="28"/>
          <w:szCs w:val="28"/>
        </w:rPr>
        <w:t>报价要谨慎，一旦中标，视为理解并考虑了我公司一切要求的报价，不得以任何理由变更。</w:t>
      </w:r>
    </w:p>
    <w:p>
      <w:pPr>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highlight w:val="none"/>
          <w:lang w:val="en-US" w:eastAsia="zh-CN"/>
        </w:rPr>
        <w:t>（3）</w:t>
      </w:r>
      <w:r>
        <w:rPr>
          <w:rFonts w:hint="eastAsia" w:ascii="仿宋" w:hAnsi="仿宋" w:eastAsia="仿宋" w:cs="仿宋_GB2312"/>
          <w:b w:val="0"/>
          <w:bCs w:val="0"/>
          <w:sz w:val="28"/>
          <w:szCs w:val="28"/>
          <w:highlight w:val="none"/>
          <w:lang w:val="en-US" w:eastAsia="zh-CN"/>
        </w:rPr>
        <w:t>各投标人须</w:t>
      </w:r>
      <w:r>
        <w:rPr>
          <w:rFonts w:hint="eastAsia" w:ascii="仿宋_GB2312" w:hAnsi="仿宋_GB2312" w:eastAsia="仿宋_GB2312" w:cs="仿宋_GB2312"/>
          <w:b w:val="0"/>
          <w:bCs w:val="0"/>
          <w:sz w:val="28"/>
          <w:szCs w:val="28"/>
          <w:highlight w:val="none"/>
        </w:rPr>
        <w:t>在</w:t>
      </w:r>
      <w:r>
        <w:rPr>
          <w:rFonts w:hint="eastAsia" w:ascii="仿宋_GB2312" w:hAnsi="仿宋_GB2312" w:eastAsia="仿宋_GB2312" w:cs="仿宋_GB2312"/>
          <w:b w:val="0"/>
          <w:bCs w:val="0"/>
          <w:sz w:val="28"/>
          <w:szCs w:val="28"/>
          <w:highlight w:val="none"/>
          <w:lang w:val="en-US" w:eastAsia="zh-CN"/>
        </w:rPr>
        <w:t>指定时间</w:t>
      </w:r>
      <w:r>
        <w:rPr>
          <w:rFonts w:hint="eastAsia" w:ascii="仿宋_GB2312" w:hAnsi="仿宋_GB2312" w:eastAsia="仿宋_GB2312" w:cs="仿宋_GB2312"/>
          <w:b w:val="0"/>
          <w:bCs w:val="0"/>
          <w:sz w:val="28"/>
          <w:szCs w:val="28"/>
          <w:highlight w:val="none"/>
        </w:rPr>
        <w:t>前至铜陵有色建安公司报名</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同时通过投标报名的资格审查。</w:t>
      </w:r>
      <w:r>
        <w:rPr>
          <w:rFonts w:hint="eastAsia" w:ascii="仿宋" w:hAnsi="仿宋" w:eastAsia="仿宋" w:cs="仿宋_GB2312"/>
          <w:b/>
          <w:bCs/>
          <w:sz w:val="28"/>
          <w:szCs w:val="28"/>
          <w:highlight w:val="none"/>
        </w:rPr>
        <w:t>因投标人</w:t>
      </w:r>
      <w:r>
        <w:rPr>
          <w:rFonts w:hint="eastAsia" w:ascii="仿宋" w:hAnsi="仿宋" w:eastAsia="仿宋" w:cs="仿宋_GB2312"/>
          <w:b/>
          <w:bCs/>
          <w:sz w:val="28"/>
          <w:szCs w:val="28"/>
          <w:highlight w:val="none"/>
          <w:lang w:val="en-US" w:eastAsia="zh-CN"/>
        </w:rPr>
        <w:t>未在指定要求时间报名或未通过资格审查的</w:t>
      </w:r>
      <w:r>
        <w:rPr>
          <w:rFonts w:hint="eastAsia" w:ascii="仿宋" w:hAnsi="仿宋" w:eastAsia="仿宋" w:cs="仿宋_GB2312"/>
          <w:b/>
          <w:bCs/>
          <w:sz w:val="28"/>
          <w:szCs w:val="28"/>
          <w:highlight w:val="none"/>
        </w:rPr>
        <w:t>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w:t>
      </w:r>
      <w:r>
        <w:rPr>
          <w:rFonts w:hint="eastAsia" w:ascii="仿宋" w:hAnsi="仿宋" w:eastAsia="仿宋" w:cs="仿宋_GB2312"/>
          <w:sz w:val="28"/>
          <w:szCs w:val="28"/>
          <w:lang w:val="en-US" w:eastAsia="zh-CN"/>
        </w:rPr>
        <w:t>法定代表人授权书</w:t>
      </w:r>
      <w:r>
        <w:rPr>
          <w:rFonts w:hint="eastAsia" w:ascii="仿宋" w:hAnsi="仿宋" w:eastAsia="仿宋" w:cs="仿宋_GB2312"/>
          <w:sz w:val="28"/>
          <w:szCs w:val="28"/>
        </w:rPr>
        <w:t>》并加盖公章作为投标资料的一部分。</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w:t>
      </w:r>
      <w:r>
        <w:rPr>
          <w:rFonts w:hint="eastAsia" w:ascii="仿宋" w:hAnsi="仿宋" w:eastAsia="仿宋" w:cs="仿宋_GB2312"/>
          <w:b/>
          <w:bCs/>
          <w:sz w:val="28"/>
          <w:szCs w:val="28"/>
        </w:rPr>
        <w:t>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r>
        <w:rPr>
          <w:rFonts w:hint="eastAsia" w:ascii="仿宋" w:hAnsi="仿宋" w:eastAsia="仿宋" w:cs="仿宋_GB2312"/>
          <w:b/>
          <w:bCs/>
          <w:sz w:val="28"/>
          <w:szCs w:val="28"/>
          <w:lang w:val="en-US" w:eastAsia="zh-CN"/>
        </w:rPr>
        <w:t>若不符要求视为无效投标</w:t>
      </w:r>
      <w:r>
        <w:rPr>
          <w:rFonts w:hint="eastAsia" w:ascii="仿宋" w:hAnsi="仿宋" w:eastAsia="仿宋" w:cs="仿宋_GB2312"/>
          <w:sz w:val="28"/>
          <w:szCs w:val="28"/>
          <w:lang w:val="en-US" w:eastAsia="zh-CN"/>
        </w:rPr>
        <w:t>。</w:t>
      </w:r>
    </w:p>
    <w:p>
      <w:pPr>
        <w:ind w:firstLine="565" w:firstLineChars="202"/>
        <w:rPr>
          <w:rFonts w:hint="eastAsia" w:ascii="仿宋" w:hAnsi="仿宋" w:eastAsia="仿宋" w:cs="仿宋_GB2312"/>
          <w:b/>
          <w:bCs/>
          <w:sz w:val="28"/>
          <w:szCs w:val="28"/>
          <w:highlight w:val="none"/>
          <w:lang w:eastAsia="zh-CN"/>
        </w:rPr>
      </w:pP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lang w:val="en-US" w:eastAsia="zh-CN"/>
        </w:rPr>
        <w:t>4</w:t>
      </w: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rPr>
        <w:t>投标人的所有报价</w:t>
      </w:r>
      <w:r>
        <w:rPr>
          <w:rFonts w:hint="eastAsia" w:ascii="仿宋" w:hAnsi="仿宋" w:eastAsia="仿宋" w:cs="仿宋_GB2312"/>
          <w:sz w:val="28"/>
          <w:szCs w:val="28"/>
          <w:highlight w:val="none"/>
          <w:lang w:val="en-US" w:eastAsia="zh-CN"/>
        </w:rPr>
        <w:t>文件，除《法定代表人授权书》中的法定代表人签名、报价单中的法定代表人或授权委托人签名须手写以外，其他填写的内容均</w:t>
      </w:r>
      <w:r>
        <w:rPr>
          <w:rFonts w:hint="eastAsia" w:ascii="仿宋" w:hAnsi="仿宋" w:eastAsia="仿宋" w:cs="仿宋_GB2312"/>
          <w:sz w:val="28"/>
          <w:szCs w:val="28"/>
          <w:highlight w:val="none"/>
        </w:rPr>
        <w:t>为加盖单位公章的打印件</w:t>
      </w:r>
      <w:r>
        <w:rPr>
          <w:rFonts w:hint="eastAsia" w:ascii="仿宋" w:hAnsi="仿宋" w:eastAsia="仿宋" w:cs="仿宋_GB2312"/>
          <w:sz w:val="28"/>
          <w:szCs w:val="28"/>
          <w:highlight w:val="none"/>
          <w:lang w:eastAsia="zh-CN"/>
        </w:rPr>
        <w:t>。</w:t>
      </w:r>
      <w:r>
        <w:rPr>
          <w:rFonts w:hint="eastAsia" w:ascii="仿宋" w:hAnsi="仿宋" w:eastAsia="仿宋" w:cs="仿宋_GB2312"/>
          <w:b/>
          <w:bCs/>
          <w:sz w:val="28"/>
          <w:szCs w:val="28"/>
          <w:highlight w:val="none"/>
        </w:rPr>
        <w:t>以上事项不符合要求的视为无效投标</w:t>
      </w:r>
      <w:r>
        <w:rPr>
          <w:rFonts w:hint="eastAsia" w:ascii="仿宋" w:hAnsi="仿宋" w:eastAsia="仿宋" w:cs="仿宋_GB2312"/>
          <w:b/>
          <w:bCs/>
          <w:sz w:val="28"/>
          <w:szCs w:val="28"/>
          <w:highlight w:val="none"/>
          <w:lang w:eastAsia="zh-CN"/>
        </w:rPr>
        <w:t>。</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）装订要求</w:t>
      </w:r>
    </w:p>
    <w:p>
      <w:pPr>
        <w:ind w:firstLine="565" w:firstLineChars="202"/>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highlight w:val="none"/>
          <w:u w:val="single"/>
          <w:lang w:eastAsia="zh-CN"/>
        </w:rPr>
      </w:pPr>
      <w:r>
        <w:rPr>
          <w:rFonts w:hint="eastAsia" w:ascii="仿宋" w:hAnsi="仿宋" w:eastAsia="仿宋" w:cs="仿宋_GB2312"/>
          <w:sz w:val="28"/>
          <w:szCs w:val="28"/>
          <w:highlight w:val="none"/>
          <w:u w:val="single"/>
        </w:rPr>
        <w:t>材料送至铜冠建材公司仓库</w:t>
      </w:r>
      <w:r>
        <w:rPr>
          <w:rFonts w:hint="eastAsia" w:ascii="仿宋" w:hAnsi="仿宋" w:eastAsia="仿宋" w:cs="仿宋_GB2312"/>
          <w:sz w:val="28"/>
          <w:szCs w:val="28"/>
          <w:highlight w:val="none"/>
          <w:u w:val="single"/>
          <w:lang w:eastAsia="zh-CN"/>
        </w:rPr>
        <w:t>。</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single"/>
        </w:rPr>
        <w:t>本次招标的材料由中标人负责运输。运输过程中未按相关安全、环保等要求所导致的一切安全</w:t>
      </w:r>
      <w:r>
        <w:rPr>
          <w:rFonts w:hint="eastAsia" w:ascii="仿宋" w:hAnsi="仿宋" w:eastAsia="仿宋" w:cs="仿宋_GB2312"/>
          <w:sz w:val="28"/>
          <w:szCs w:val="28"/>
          <w:highlight w:val="none"/>
          <w:u w:val="single"/>
          <w:lang w:eastAsia="zh-CN"/>
        </w:rPr>
        <w:t>、</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highlight w:val="none"/>
          <w:u w:val="single"/>
          <w14:textFill>
            <w14:solidFill>
              <w14:schemeClr w14:val="tx1"/>
            </w14:solidFill>
          </w14:textFill>
        </w:rPr>
        <w:t>事故由中标人</w:t>
      </w:r>
      <w:r>
        <w:rPr>
          <w:rFonts w:hint="eastAsia" w:ascii="仿宋" w:hAnsi="仿宋" w:eastAsia="仿宋" w:cs="仿宋_GB2312"/>
          <w:sz w:val="28"/>
          <w:szCs w:val="28"/>
          <w:highlight w:val="none"/>
          <w:u w:val="single"/>
        </w:rPr>
        <w:t>承担责任。</w:t>
      </w:r>
    </w:p>
    <w:p>
      <w:p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915" w:firstLineChars="327"/>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按</w:t>
      </w:r>
      <w:r>
        <w:rPr>
          <w:rFonts w:hint="eastAsia" w:ascii="仿宋" w:hAnsi="仿宋" w:eastAsia="仿宋" w:cs="仿宋_GB2312"/>
          <w:sz w:val="28"/>
          <w:szCs w:val="28"/>
          <w:highlight w:val="none"/>
          <w:u w:val="single"/>
          <w:lang w:val="en-US" w:eastAsia="zh-CN"/>
        </w:rPr>
        <w:t>建材</w:t>
      </w:r>
      <w:r>
        <w:rPr>
          <w:rFonts w:hint="eastAsia" w:ascii="仿宋" w:hAnsi="仿宋" w:eastAsia="仿宋" w:cs="仿宋_GB2312"/>
          <w:sz w:val="28"/>
          <w:szCs w:val="28"/>
          <w:highlight w:val="none"/>
          <w:u w:val="single"/>
        </w:rPr>
        <w:t>公司实际验收数量和理论换算量方式确认数量结算。</w:t>
      </w:r>
    </w:p>
    <w:p>
      <w:pPr>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 w:hAnsi="仿宋" w:eastAsia="仿宋" w:cs="仿宋_GB2312"/>
          <w:sz w:val="28"/>
          <w:szCs w:val="28"/>
          <w:highlight w:val="none"/>
          <w:u w:val="none"/>
          <w:lang w:val="en-US" w:eastAsia="zh-CN"/>
        </w:rPr>
        <w:t>8、标的物数量为</w:t>
      </w: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none"/>
          <w:lang w:val="en-US" w:eastAsia="zh-CN"/>
        </w:rPr>
        <w:t>个月</w:t>
      </w:r>
      <w:r>
        <w:rPr>
          <w:rFonts w:hint="eastAsia" w:ascii="仿宋" w:hAnsi="仿宋" w:eastAsia="仿宋" w:cs="仿宋_GB2312"/>
          <w:sz w:val="28"/>
          <w:szCs w:val="28"/>
          <w:u w:val="none"/>
          <w:lang w:val="en-US" w:eastAsia="zh-CN"/>
        </w:rPr>
        <w:t>的预估量，合同执行时间为半年（按需方通知分批供货），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560" w:firstLineChars="2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lang w:val="en-US" w:eastAsia="zh-CN"/>
        </w:rPr>
        <w:t>9、本次招标设置最高</w:t>
      </w:r>
      <w:r>
        <w:rPr>
          <w:rFonts w:hint="eastAsia" w:ascii="仿宋" w:hAnsi="仿宋" w:eastAsia="仿宋" w:cs="仿宋_GB2312"/>
          <w:b w:val="0"/>
          <w:bCs w:val="0"/>
          <w:sz w:val="28"/>
          <w:szCs w:val="28"/>
          <w:lang w:val="en-US" w:eastAsia="zh-CN"/>
        </w:rPr>
        <w:t>控制价，凡高于最高控制价的报价均无效。</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val="0"/>
          <w:bCs w:val="0"/>
          <w:sz w:val="28"/>
          <w:szCs w:val="28"/>
          <w:u w:val="single"/>
          <w:lang w:val="en-US" w:eastAsia="zh-CN"/>
        </w:rPr>
        <w:t>1</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lang w:eastAsia="zh-CN"/>
        </w:rPr>
        <w:t>、</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w:t>
      </w:r>
      <w:r>
        <w:rPr>
          <w:rFonts w:hint="eastAsia" w:ascii="宋体"/>
          <w:sz w:val="24"/>
          <w:lang w:val="en-US" w:eastAsia="zh-CN"/>
        </w:rPr>
        <w:t>名</w:t>
      </w:r>
      <w:r>
        <w:rPr>
          <w:rFonts w:hint="eastAsia" w:ascii="宋体"/>
          <w:sz w:val="24"/>
        </w:rPr>
        <w:t>：_______________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sz w:val="24"/>
        </w:rPr>
        <w:t>年   月   日</w:t>
      </w: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lang w:eastAsia="zh-CN"/>
        </w:rPr>
        <w:t>、报价单</w:t>
      </w: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2107</w:t>
      </w:r>
      <w:r>
        <w:rPr>
          <w:rFonts w:hint="eastAsia" w:ascii="仿宋_GB2312" w:eastAsia="仿宋_GB2312"/>
          <w:b/>
          <w:sz w:val="30"/>
          <w:szCs w:val="30"/>
        </w:rPr>
        <w:t>）</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68"/>
        <w:gridCol w:w="4075"/>
        <w:gridCol w:w="804"/>
        <w:gridCol w:w="1271"/>
        <w:gridCol w:w="919"/>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568"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40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04"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271"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919"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568"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脱模剂</w:t>
            </w:r>
          </w:p>
        </w:tc>
        <w:tc>
          <w:tcPr>
            <w:tcW w:w="4075" w:type="dxa"/>
            <w:noWrap w:val="0"/>
            <w:vAlign w:val="center"/>
          </w:tcPr>
          <w:p>
            <w:pPr>
              <w:jc w:val="center"/>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矿油型润滑油:-48℃—-6℃；</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燃料油:-33℃—51℃；</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粘度指数＞100;</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闪点＞139；</w:t>
            </w:r>
          </w:p>
          <w:p>
            <w:pPr>
              <w:jc w:val="center"/>
              <w:rPr>
                <w:rFonts w:hint="default"/>
                <w:vertAlign w:val="baseline"/>
                <w:lang w:val="en-US" w:eastAsia="zh-CN"/>
              </w:rPr>
            </w:pPr>
            <w:r>
              <w:rPr>
                <w:rFonts w:hint="eastAsia" w:ascii="仿宋_GB2312" w:eastAsia="仿宋_GB2312"/>
                <w:b w:val="0"/>
                <w:bCs w:val="0"/>
                <w:sz w:val="24"/>
                <w:lang w:val="en-US" w:eastAsia="zh-CN"/>
              </w:rPr>
              <w:t>运动粘度＞400。</w:t>
            </w:r>
          </w:p>
        </w:tc>
        <w:tc>
          <w:tcPr>
            <w:tcW w:w="804"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271"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90</w:t>
            </w: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noWrap w:val="0"/>
            <w:vAlign w:val="center"/>
          </w:tcPr>
          <w:p>
            <w:pPr>
              <w:widowControl w:val="0"/>
              <w:jc w:val="center"/>
              <w:rPr>
                <w:rFonts w:hint="default"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568"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4075" w:type="dxa"/>
            <w:noWrap w:val="0"/>
            <w:vAlign w:val="center"/>
          </w:tcPr>
          <w:p>
            <w:pPr>
              <w:jc w:val="center"/>
              <w:rPr>
                <w:rFonts w:hint="eastAsia" w:ascii="仿宋_GB2312" w:eastAsia="仿宋_GB2312"/>
                <w:sz w:val="24"/>
                <w:lang w:val="en-US" w:eastAsia="zh-CN"/>
              </w:rPr>
            </w:pPr>
          </w:p>
        </w:tc>
        <w:tc>
          <w:tcPr>
            <w:tcW w:w="804" w:type="dxa"/>
            <w:noWrap w:val="0"/>
            <w:vAlign w:val="center"/>
          </w:tcPr>
          <w:p>
            <w:pPr>
              <w:jc w:val="center"/>
              <w:rPr>
                <w:rFonts w:hint="eastAsia" w:ascii="仿宋_GB2312" w:eastAsia="仿宋_GB2312"/>
                <w:sz w:val="24"/>
                <w:lang w:eastAsia="zh-CN"/>
              </w:rPr>
            </w:pPr>
          </w:p>
        </w:tc>
        <w:tc>
          <w:tcPr>
            <w:tcW w:w="1271" w:type="dxa"/>
            <w:noWrap w:val="0"/>
            <w:vAlign w:val="center"/>
          </w:tcPr>
          <w:p>
            <w:pPr>
              <w:jc w:val="center"/>
              <w:rPr>
                <w:rFonts w:hint="eastAsia" w:ascii="仿宋_GB2312" w:eastAsia="仿宋_GB2312"/>
                <w:sz w:val="24"/>
                <w:lang w:val="en-US" w:eastAsia="zh-CN"/>
              </w:rPr>
            </w:pP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w:t>
            </w:r>
            <w:r>
              <w:rPr>
                <w:rFonts w:hint="eastAsia" w:ascii="仿宋_GB2312" w:eastAsia="仿宋_GB2312"/>
                <w:sz w:val="24"/>
                <w:lang w:val="en-US" w:eastAsia="zh-CN"/>
              </w:rPr>
              <w:t>报价单除法定代表人或授权委托人签名手写以外，其他填写内容均为打印件加盖投标人公章。</w:t>
            </w:r>
          </w:p>
          <w:p>
            <w:pPr>
              <w:ind w:firstLine="240" w:firstLineChars="100"/>
              <w:jc w:val="both"/>
              <w:rPr>
                <w:rFonts w:hint="default" w:ascii="仿宋_GB2312" w:eastAsia="仿宋_GB2312"/>
                <w:sz w:val="24"/>
                <w:lang w:val="en-US" w:eastAsia="zh-CN"/>
              </w:rPr>
            </w:pPr>
          </w:p>
          <w:p>
            <w:pPr>
              <w:numPr>
                <w:ilvl w:val="0"/>
                <w:numId w:val="0"/>
              </w:numPr>
              <w:ind w:firstLine="960" w:firstLineChars="4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5"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229"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98542"/>
    <w:multiLevelType w:val="singleLevel"/>
    <w:tmpl w:val="97998542"/>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0B9E6CF"/>
    <w:multiLevelType w:val="singleLevel"/>
    <w:tmpl w:val="60B9E6CF"/>
    <w:lvl w:ilvl="0" w:tentative="0">
      <w:start w:val="1"/>
      <w:numFmt w:val="decimal"/>
      <w:suff w:val="nothing"/>
      <w:lvlText w:val="%1、"/>
      <w:lvlJc w:val="left"/>
    </w:lvl>
  </w:abstractNum>
  <w:abstractNum w:abstractNumId="3">
    <w:nsid w:val="6E8F0FE2"/>
    <w:multiLevelType w:val="singleLevel"/>
    <w:tmpl w:val="6E8F0FE2"/>
    <w:lvl w:ilvl="0" w:tentative="0">
      <w:start w:val="1"/>
      <w:numFmt w:val="decimal"/>
      <w:suff w:val="nothing"/>
      <w:lvlText w:val="%1、"/>
      <w:lvlJc w:val="left"/>
    </w:lvl>
  </w:abstractNum>
  <w:abstractNum w:abstractNumId="4">
    <w:nsid w:val="7CA1E40B"/>
    <w:multiLevelType w:val="singleLevel"/>
    <w:tmpl w:val="7CA1E40B"/>
    <w:lvl w:ilvl="0" w:tentative="0">
      <w:start w:val="1"/>
      <w:numFmt w:val="decimal"/>
      <w:suff w:val="nothing"/>
      <w:lvlText w:val="%1、"/>
      <w:lvlJc w:val="left"/>
      <w:pPr>
        <w:ind w:left="1543" w:leftChars="0" w:firstLine="0" w:firstLineChars="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3F84A14"/>
    <w:rsid w:val="048A48C3"/>
    <w:rsid w:val="05BF33B5"/>
    <w:rsid w:val="0666200A"/>
    <w:rsid w:val="06830296"/>
    <w:rsid w:val="078F4586"/>
    <w:rsid w:val="08532FCA"/>
    <w:rsid w:val="087B3E41"/>
    <w:rsid w:val="0A5C7401"/>
    <w:rsid w:val="0A671243"/>
    <w:rsid w:val="0B2B537E"/>
    <w:rsid w:val="0B892A41"/>
    <w:rsid w:val="0BC6777D"/>
    <w:rsid w:val="0C6241B2"/>
    <w:rsid w:val="0CFD5D93"/>
    <w:rsid w:val="0D2B4E23"/>
    <w:rsid w:val="0DA4166E"/>
    <w:rsid w:val="0E6968C4"/>
    <w:rsid w:val="0E876D2F"/>
    <w:rsid w:val="0EC82FD7"/>
    <w:rsid w:val="0EEA79E8"/>
    <w:rsid w:val="0F87159E"/>
    <w:rsid w:val="0FD9468C"/>
    <w:rsid w:val="10181623"/>
    <w:rsid w:val="1021796C"/>
    <w:rsid w:val="12214BB2"/>
    <w:rsid w:val="12A820AD"/>
    <w:rsid w:val="141C4B77"/>
    <w:rsid w:val="15983E4B"/>
    <w:rsid w:val="15B5130A"/>
    <w:rsid w:val="166516AF"/>
    <w:rsid w:val="167F6B48"/>
    <w:rsid w:val="179B554D"/>
    <w:rsid w:val="17B54B89"/>
    <w:rsid w:val="17D86D23"/>
    <w:rsid w:val="18AF15FD"/>
    <w:rsid w:val="1A097DD9"/>
    <w:rsid w:val="1A8D7BCD"/>
    <w:rsid w:val="1B59783C"/>
    <w:rsid w:val="1BBF797C"/>
    <w:rsid w:val="1C6F0694"/>
    <w:rsid w:val="1CFD6BF3"/>
    <w:rsid w:val="1DEE2CCA"/>
    <w:rsid w:val="2037683E"/>
    <w:rsid w:val="213C6AFC"/>
    <w:rsid w:val="21AC031E"/>
    <w:rsid w:val="21FE5C45"/>
    <w:rsid w:val="223E7710"/>
    <w:rsid w:val="229E0F7C"/>
    <w:rsid w:val="22FB658D"/>
    <w:rsid w:val="23B966E8"/>
    <w:rsid w:val="24EE5A22"/>
    <w:rsid w:val="25590EC9"/>
    <w:rsid w:val="26320AE7"/>
    <w:rsid w:val="26A26CEB"/>
    <w:rsid w:val="277B43E9"/>
    <w:rsid w:val="29981836"/>
    <w:rsid w:val="299D4A4C"/>
    <w:rsid w:val="2A1902C2"/>
    <w:rsid w:val="2A4D74FB"/>
    <w:rsid w:val="2B3013CD"/>
    <w:rsid w:val="2B77100F"/>
    <w:rsid w:val="2C995D0F"/>
    <w:rsid w:val="2D3E7816"/>
    <w:rsid w:val="2D5B1DD3"/>
    <w:rsid w:val="302E3043"/>
    <w:rsid w:val="30D974B7"/>
    <w:rsid w:val="333663C1"/>
    <w:rsid w:val="336F7BD6"/>
    <w:rsid w:val="33800EB9"/>
    <w:rsid w:val="343C1399"/>
    <w:rsid w:val="34634E47"/>
    <w:rsid w:val="346848DB"/>
    <w:rsid w:val="34CD51E9"/>
    <w:rsid w:val="354F3A99"/>
    <w:rsid w:val="35647FBB"/>
    <w:rsid w:val="357B16F3"/>
    <w:rsid w:val="36050FAB"/>
    <w:rsid w:val="368D196C"/>
    <w:rsid w:val="36D672C3"/>
    <w:rsid w:val="380C6F18"/>
    <w:rsid w:val="38182E0F"/>
    <w:rsid w:val="383303B2"/>
    <w:rsid w:val="3A3173ED"/>
    <w:rsid w:val="3B076549"/>
    <w:rsid w:val="3C1439C6"/>
    <w:rsid w:val="3C5B75D3"/>
    <w:rsid w:val="3C7823C8"/>
    <w:rsid w:val="3CCB1110"/>
    <w:rsid w:val="3DBC2399"/>
    <w:rsid w:val="3DCC4487"/>
    <w:rsid w:val="3E474521"/>
    <w:rsid w:val="3E6F69C8"/>
    <w:rsid w:val="3EC82979"/>
    <w:rsid w:val="3FD1339B"/>
    <w:rsid w:val="3FDE08C1"/>
    <w:rsid w:val="417E4128"/>
    <w:rsid w:val="41B46B47"/>
    <w:rsid w:val="424B79E0"/>
    <w:rsid w:val="42B6751B"/>
    <w:rsid w:val="430845A2"/>
    <w:rsid w:val="434963F7"/>
    <w:rsid w:val="439F612A"/>
    <w:rsid w:val="441344E9"/>
    <w:rsid w:val="44842956"/>
    <w:rsid w:val="44B922E9"/>
    <w:rsid w:val="44F42E3B"/>
    <w:rsid w:val="465E02D2"/>
    <w:rsid w:val="46D84831"/>
    <w:rsid w:val="479D173C"/>
    <w:rsid w:val="499D4ACB"/>
    <w:rsid w:val="4C660503"/>
    <w:rsid w:val="4E72741D"/>
    <w:rsid w:val="4E822997"/>
    <w:rsid w:val="4ED20DFA"/>
    <w:rsid w:val="4F0F5DA2"/>
    <w:rsid w:val="4F306E70"/>
    <w:rsid w:val="4F397E6D"/>
    <w:rsid w:val="504C2BE7"/>
    <w:rsid w:val="50A426AD"/>
    <w:rsid w:val="50B3584C"/>
    <w:rsid w:val="50F251D7"/>
    <w:rsid w:val="515D197F"/>
    <w:rsid w:val="51B50E5A"/>
    <w:rsid w:val="52A62484"/>
    <w:rsid w:val="53B91166"/>
    <w:rsid w:val="54573D69"/>
    <w:rsid w:val="545A509F"/>
    <w:rsid w:val="5490274C"/>
    <w:rsid w:val="554830C1"/>
    <w:rsid w:val="559A58F4"/>
    <w:rsid w:val="55BF127A"/>
    <w:rsid w:val="568367ED"/>
    <w:rsid w:val="56B4262E"/>
    <w:rsid w:val="57292C47"/>
    <w:rsid w:val="5807041D"/>
    <w:rsid w:val="58396156"/>
    <w:rsid w:val="583F79D3"/>
    <w:rsid w:val="58691989"/>
    <w:rsid w:val="58F960F8"/>
    <w:rsid w:val="59DC5C6A"/>
    <w:rsid w:val="5A0F7943"/>
    <w:rsid w:val="5B142C77"/>
    <w:rsid w:val="5B3C221E"/>
    <w:rsid w:val="5C1E1084"/>
    <w:rsid w:val="5DD82E17"/>
    <w:rsid w:val="5EE01EF7"/>
    <w:rsid w:val="60F035C2"/>
    <w:rsid w:val="61387591"/>
    <w:rsid w:val="61E25FCA"/>
    <w:rsid w:val="63E45615"/>
    <w:rsid w:val="66E87CA1"/>
    <w:rsid w:val="6783747A"/>
    <w:rsid w:val="67BB44D3"/>
    <w:rsid w:val="69AD4D95"/>
    <w:rsid w:val="6A315ABB"/>
    <w:rsid w:val="6A38444C"/>
    <w:rsid w:val="6A660AE8"/>
    <w:rsid w:val="6A87598F"/>
    <w:rsid w:val="6B851ED6"/>
    <w:rsid w:val="6C421F5D"/>
    <w:rsid w:val="6DD3687C"/>
    <w:rsid w:val="6FA61CA4"/>
    <w:rsid w:val="701C116B"/>
    <w:rsid w:val="703849D5"/>
    <w:rsid w:val="711712EF"/>
    <w:rsid w:val="71776FF6"/>
    <w:rsid w:val="724A4C98"/>
    <w:rsid w:val="725707B9"/>
    <w:rsid w:val="74B57A97"/>
    <w:rsid w:val="770017D6"/>
    <w:rsid w:val="7757254C"/>
    <w:rsid w:val="77C81C4C"/>
    <w:rsid w:val="793439F5"/>
    <w:rsid w:val="796E3D99"/>
    <w:rsid w:val="7A1F70EE"/>
    <w:rsid w:val="7AE32E2F"/>
    <w:rsid w:val="7B8D7C88"/>
    <w:rsid w:val="7B974470"/>
    <w:rsid w:val="7C252C88"/>
    <w:rsid w:val="7C316DE3"/>
    <w:rsid w:val="7D606D40"/>
    <w:rsid w:val="7DBC073F"/>
    <w:rsid w:val="7E0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19</TotalTime>
  <ScaleCrop>false</ScaleCrop>
  <LinksUpToDate>false</LinksUpToDate>
  <CharactersWithSpaces>2489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2021-03-03T02:21:48Z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